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AB" w:rsidRDefault="009068AB" w:rsidP="009068AB">
      <w:pPr>
        <w:suppressAutoHyphens/>
        <w:spacing w:line="240" w:lineRule="auto"/>
        <w:ind w:firstLine="28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Д.А. </w:t>
      </w:r>
      <w:proofErr w:type="spellStart"/>
      <w:r>
        <w:rPr>
          <w:b/>
          <w:i/>
          <w:sz w:val="20"/>
          <w:szCs w:val="20"/>
        </w:rPr>
        <w:t>Абакин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 w:rsidR="0051099F">
        <w:rPr>
          <w:b/>
          <w:i/>
          <w:sz w:val="20"/>
          <w:szCs w:val="20"/>
        </w:rPr>
        <w:t>асп</w:t>
      </w:r>
      <w:proofErr w:type="spellEnd"/>
      <w:r>
        <w:rPr>
          <w:b/>
          <w:i/>
          <w:sz w:val="20"/>
          <w:szCs w:val="20"/>
        </w:rPr>
        <w:t xml:space="preserve">., рук. Б.А. Соколов, к.т.н., </w:t>
      </w:r>
      <w:r w:rsidR="00F56725">
        <w:rPr>
          <w:b/>
          <w:i/>
          <w:sz w:val="20"/>
          <w:szCs w:val="20"/>
        </w:rPr>
        <w:t>доцент</w:t>
      </w:r>
      <w:r>
        <w:rPr>
          <w:b/>
          <w:i/>
          <w:sz w:val="20"/>
          <w:szCs w:val="20"/>
        </w:rPr>
        <w:t>.</w:t>
      </w:r>
    </w:p>
    <w:p w:rsidR="009068AB" w:rsidRPr="009068AB" w:rsidRDefault="009068AB" w:rsidP="009068AB">
      <w:pPr>
        <w:suppressAutoHyphens/>
        <w:spacing w:line="240" w:lineRule="auto"/>
        <w:ind w:firstLine="28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(НИУ </w:t>
      </w:r>
      <w:r w:rsidRPr="009068AB">
        <w:rPr>
          <w:b/>
          <w:i/>
          <w:sz w:val="20"/>
          <w:szCs w:val="20"/>
        </w:rPr>
        <w:t>“</w:t>
      </w:r>
      <w:r>
        <w:rPr>
          <w:b/>
          <w:i/>
          <w:sz w:val="20"/>
          <w:szCs w:val="20"/>
        </w:rPr>
        <w:t>МЭИ</w:t>
      </w:r>
      <w:r w:rsidRPr="009068AB">
        <w:rPr>
          <w:b/>
          <w:i/>
          <w:sz w:val="20"/>
          <w:szCs w:val="20"/>
        </w:rPr>
        <w:t>”</w:t>
      </w:r>
      <w:r>
        <w:rPr>
          <w:b/>
          <w:i/>
          <w:sz w:val="20"/>
          <w:szCs w:val="20"/>
        </w:rPr>
        <w:t>, г.  Москва)</w:t>
      </w:r>
    </w:p>
    <w:p w:rsidR="0043130C" w:rsidRDefault="00F56725" w:rsidP="009068AB">
      <w:pPr>
        <w:suppressAutoHyphens/>
        <w:spacing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ТЕПЛОТЫ РАСПЛАВА ДЛЯ ПОВЫШЕНИЯ ЭНЕРГЕТИЧЕСКОЙ ЭФФЕКТИВНОСТИ СТЕКЛОВАРЕННОЙ ПЕЧИ</w:t>
      </w:r>
    </w:p>
    <w:p w:rsidR="009A29BF" w:rsidRDefault="009A29BF" w:rsidP="009068AB">
      <w:pPr>
        <w:suppressAutoHyphens/>
        <w:spacing w:line="240" w:lineRule="auto"/>
        <w:ind w:firstLine="284"/>
        <w:jc w:val="center"/>
        <w:rPr>
          <w:b/>
          <w:sz w:val="24"/>
          <w:szCs w:val="24"/>
        </w:rPr>
      </w:pPr>
    </w:p>
    <w:p w:rsidR="0051099F" w:rsidRDefault="0051099F" w:rsidP="0051099F">
      <w:pPr>
        <w:spacing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данном докладе предложено использовать </w:t>
      </w:r>
      <w:r w:rsidRPr="0051099F">
        <w:rPr>
          <w:rFonts w:cs="Times New Roman"/>
          <w:sz w:val="20"/>
          <w:szCs w:val="20"/>
        </w:rPr>
        <w:t xml:space="preserve">циркулирующие дымовые газы для охлаждения стекломассы в </w:t>
      </w:r>
      <w:proofErr w:type="spellStart"/>
      <w:r w:rsidRPr="0051099F">
        <w:rPr>
          <w:rFonts w:cs="Times New Roman"/>
          <w:sz w:val="20"/>
          <w:szCs w:val="20"/>
        </w:rPr>
        <w:t>выработочной</w:t>
      </w:r>
      <w:proofErr w:type="spellEnd"/>
      <w:r w:rsidRPr="0051099F">
        <w:rPr>
          <w:rFonts w:cs="Times New Roman"/>
          <w:sz w:val="20"/>
          <w:szCs w:val="20"/>
        </w:rPr>
        <w:t xml:space="preserve"> части стекловаренной печи и нагрева шихты и </w:t>
      </w:r>
      <w:proofErr w:type="spellStart"/>
      <w:r w:rsidRPr="0051099F">
        <w:rPr>
          <w:rFonts w:cs="Times New Roman"/>
          <w:sz w:val="20"/>
          <w:szCs w:val="20"/>
        </w:rPr>
        <w:t>стеклобоя</w:t>
      </w:r>
      <w:proofErr w:type="spellEnd"/>
      <w:r w:rsidRPr="0051099F">
        <w:rPr>
          <w:rFonts w:cs="Times New Roman"/>
          <w:sz w:val="20"/>
          <w:szCs w:val="20"/>
        </w:rPr>
        <w:t xml:space="preserve"> или для получения пара в котле-утилизаторе с последующей выработкой электроэнергии.</w:t>
      </w:r>
      <w:r>
        <w:rPr>
          <w:rFonts w:cs="Times New Roman"/>
          <w:sz w:val="20"/>
          <w:szCs w:val="20"/>
        </w:rPr>
        <w:t xml:space="preserve">  </w:t>
      </w:r>
    </w:p>
    <w:p w:rsidR="00EE5952" w:rsidRDefault="0051099F" w:rsidP="00726740">
      <w:pPr>
        <w:spacing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Рассмотрена проблема повышения энергетической эффективности стекловаренных </w:t>
      </w:r>
      <w:r w:rsidR="00EE5952">
        <w:rPr>
          <w:rFonts w:cs="Times New Roman"/>
          <w:sz w:val="20"/>
          <w:szCs w:val="20"/>
        </w:rPr>
        <w:t>печей и обоснована ее актуальность. Проанализирован тепловой баланс современной регенеративной стекловаренной печи и показаны основные направления повышения энергетической эффективности такой печи.</w:t>
      </w:r>
      <w:r w:rsidR="00726740">
        <w:rPr>
          <w:rFonts w:cs="Times New Roman"/>
          <w:sz w:val="20"/>
          <w:szCs w:val="20"/>
        </w:rPr>
        <w:t xml:space="preserve"> Рассчитано, что </w:t>
      </w:r>
      <w:r w:rsidR="00EB7037">
        <w:rPr>
          <w:rFonts w:cs="Times New Roman"/>
          <w:sz w:val="20"/>
          <w:szCs w:val="20"/>
        </w:rPr>
        <w:t>при регенерации всей</w:t>
      </w:r>
      <w:r w:rsidR="00726740">
        <w:rPr>
          <w:rFonts w:cs="Times New Roman"/>
          <w:sz w:val="20"/>
          <w:szCs w:val="20"/>
        </w:rPr>
        <w:t xml:space="preserve"> теплоты, выделившейся при охлаждении стекломассы в зоне </w:t>
      </w:r>
      <w:proofErr w:type="spellStart"/>
      <w:r w:rsidR="00726740">
        <w:rPr>
          <w:rFonts w:cs="Times New Roman"/>
          <w:sz w:val="20"/>
          <w:szCs w:val="20"/>
        </w:rPr>
        <w:t>студки</w:t>
      </w:r>
      <w:proofErr w:type="spellEnd"/>
      <w:r w:rsidR="00EB7037">
        <w:rPr>
          <w:rFonts w:cs="Times New Roman"/>
          <w:sz w:val="20"/>
          <w:szCs w:val="20"/>
        </w:rPr>
        <w:t>, расход топлива снизится на 13%.</w:t>
      </w:r>
    </w:p>
    <w:p w:rsidR="00EE5952" w:rsidRDefault="00EB7037" w:rsidP="0051099F">
      <w:pPr>
        <w:spacing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Рассмотрена конструкция </w:t>
      </w:r>
      <w:proofErr w:type="spellStart"/>
      <w:r>
        <w:rPr>
          <w:rFonts w:cs="Times New Roman"/>
          <w:sz w:val="20"/>
          <w:szCs w:val="20"/>
        </w:rPr>
        <w:t>студочного</w:t>
      </w:r>
      <w:proofErr w:type="spellEnd"/>
      <w:r>
        <w:rPr>
          <w:rFonts w:cs="Times New Roman"/>
          <w:sz w:val="20"/>
          <w:szCs w:val="20"/>
        </w:rPr>
        <w:t xml:space="preserve"> бассейна на примере стекловаренных печей Орехово-Зуевского стекольного завода. </w:t>
      </w:r>
      <w:r w:rsidR="008C4738">
        <w:rPr>
          <w:rFonts w:cs="Times New Roman"/>
          <w:sz w:val="20"/>
          <w:szCs w:val="20"/>
        </w:rPr>
        <w:t>Рассчитано, что потери теплоты теплопроводностью через наружные ограждения невелики, большая часть теплоты расплава теряется за счет излучения через открытые отверстия в своде печи и может быть использована.</w:t>
      </w:r>
    </w:p>
    <w:p w:rsidR="008C4738" w:rsidRDefault="008C4738" w:rsidP="008C4738">
      <w:pPr>
        <w:spacing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Предложена схема использования теплоты стекломассы (рис. 1), в которой  </w:t>
      </w:r>
      <w:r w:rsidRPr="0051099F">
        <w:rPr>
          <w:rFonts w:cs="Times New Roman"/>
          <w:sz w:val="20"/>
          <w:szCs w:val="20"/>
        </w:rPr>
        <w:t xml:space="preserve">циркулирующий по замкнутому контуру промежуточный теплоноситель забирает теплоту стекломассы в </w:t>
      </w:r>
      <w:proofErr w:type="spellStart"/>
      <w:r w:rsidRPr="0051099F">
        <w:rPr>
          <w:rFonts w:cs="Times New Roman"/>
          <w:sz w:val="20"/>
          <w:szCs w:val="20"/>
        </w:rPr>
        <w:t>студочном</w:t>
      </w:r>
      <w:proofErr w:type="spellEnd"/>
      <w:r w:rsidRPr="0051099F">
        <w:rPr>
          <w:rFonts w:cs="Times New Roman"/>
          <w:sz w:val="20"/>
          <w:szCs w:val="20"/>
        </w:rPr>
        <w:t xml:space="preserve"> бассейне 1 и затем отдает ее в теплоиспользующем устройстве 2 (рис. 3). В роли теплоиспользующего устройства может выступать, например, подогреватель шихты или котел-утилизатор. В качестве промежуточного теплоносителя рационально использовать дымовые газы, которые непрерывно образуются при работе расположенных  в </w:t>
      </w:r>
      <w:proofErr w:type="spellStart"/>
      <w:r w:rsidRPr="0051099F">
        <w:rPr>
          <w:rFonts w:cs="Times New Roman"/>
          <w:sz w:val="20"/>
          <w:szCs w:val="20"/>
        </w:rPr>
        <w:t>студочной</w:t>
      </w:r>
      <w:proofErr w:type="spellEnd"/>
      <w:r w:rsidRPr="0051099F">
        <w:rPr>
          <w:rFonts w:cs="Times New Roman"/>
          <w:sz w:val="20"/>
          <w:szCs w:val="20"/>
        </w:rPr>
        <w:t xml:space="preserve"> части печи горелок, и удаляются через отверстие 4. Для регулирования температуры газов после </w:t>
      </w:r>
      <w:proofErr w:type="spellStart"/>
      <w:r w:rsidRPr="0051099F">
        <w:rPr>
          <w:rFonts w:cs="Times New Roman"/>
          <w:sz w:val="20"/>
          <w:szCs w:val="20"/>
        </w:rPr>
        <w:t>студочного</w:t>
      </w:r>
      <w:proofErr w:type="spellEnd"/>
      <w:r w:rsidRPr="0051099F">
        <w:rPr>
          <w:rFonts w:cs="Times New Roman"/>
          <w:sz w:val="20"/>
          <w:szCs w:val="20"/>
        </w:rPr>
        <w:t xml:space="preserve"> бассейна может использоваться вентиль 5, позволяющий направить часть дымовых газов в обход и сн</w:t>
      </w:r>
      <w:r>
        <w:rPr>
          <w:rFonts w:cs="Times New Roman"/>
          <w:sz w:val="20"/>
          <w:szCs w:val="20"/>
        </w:rPr>
        <w:t xml:space="preserve">изить температуру дымовых газов. </w:t>
      </w:r>
    </w:p>
    <w:p w:rsidR="008C4738" w:rsidRDefault="008C4738" w:rsidP="008C4738">
      <w:pPr>
        <w:spacing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Рассчитан тепловой баланс стекловаренной печи при</w:t>
      </w:r>
      <w:r w:rsidRPr="0051099F">
        <w:rPr>
          <w:rFonts w:cs="Times New Roman"/>
          <w:sz w:val="20"/>
          <w:szCs w:val="20"/>
        </w:rPr>
        <w:t xml:space="preserve"> использовани</w:t>
      </w:r>
      <w:r>
        <w:rPr>
          <w:rFonts w:cs="Times New Roman"/>
          <w:sz w:val="20"/>
          <w:szCs w:val="20"/>
        </w:rPr>
        <w:t>и</w:t>
      </w:r>
      <w:r w:rsidRPr="0051099F">
        <w:rPr>
          <w:rFonts w:cs="Times New Roman"/>
          <w:sz w:val="20"/>
          <w:szCs w:val="20"/>
        </w:rPr>
        <w:t xml:space="preserve"> теплоты стекломассы для подогрева шихты и </w:t>
      </w:r>
      <w:proofErr w:type="spellStart"/>
      <w:r w:rsidRPr="0051099F">
        <w:rPr>
          <w:rFonts w:cs="Times New Roman"/>
          <w:sz w:val="20"/>
          <w:szCs w:val="20"/>
        </w:rPr>
        <w:t>стеклобоя</w:t>
      </w:r>
      <w:proofErr w:type="spellEnd"/>
      <w:r w:rsidRPr="0051099F">
        <w:rPr>
          <w:rFonts w:cs="Times New Roman"/>
          <w:sz w:val="20"/>
          <w:szCs w:val="20"/>
        </w:rPr>
        <w:t xml:space="preserve">. По результатам расчета теплоты стекломассы достаточно для подогрева шихты и </w:t>
      </w:r>
      <w:proofErr w:type="spellStart"/>
      <w:r w:rsidRPr="0051099F">
        <w:rPr>
          <w:rFonts w:cs="Times New Roman"/>
          <w:sz w:val="20"/>
          <w:szCs w:val="20"/>
        </w:rPr>
        <w:t>стеклобоя</w:t>
      </w:r>
      <w:proofErr w:type="spellEnd"/>
      <w:r w:rsidRPr="0051099F">
        <w:rPr>
          <w:rFonts w:cs="Times New Roman"/>
          <w:sz w:val="20"/>
          <w:szCs w:val="20"/>
        </w:rPr>
        <w:t xml:space="preserve"> до 388 </w:t>
      </w:r>
      <w:r w:rsidRPr="0051099F">
        <w:rPr>
          <w:rFonts w:cs="Times New Roman"/>
          <w:sz w:val="20"/>
          <w:szCs w:val="20"/>
          <w:vertAlign w:val="superscript"/>
        </w:rPr>
        <w:t>О</w:t>
      </w:r>
      <w:r w:rsidRPr="0051099F">
        <w:rPr>
          <w:rFonts w:cs="Times New Roman"/>
          <w:sz w:val="20"/>
          <w:szCs w:val="20"/>
        </w:rPr>
        <w:t>С, что позволяет сократить расход топлива</w:t>
      </w:r>
      <w:r>
        <w:rPr>
          <w:rFonts w:cs="Times New Roman"/>
          <w:sz w:val="20"/>
          <w:szCs w:val="20"/>
        </w:rPr>
        <w:t xml:space="preserve"> на варку стекломассы на 10,5 %. </w:t>
      </w:r>
    </w:p>
    <w:p w:rsidR="00F56725" w:rsidRDefault="00F56725" w:rsidP="008C4738">
      <w:pPr>
        <w:spacing w:line="240" w:lineRule="auto"/>
        <w:ind w:firstLine="284"/>
        <w:rPr>
          <w:rFonts w:cs="Times New Roman"/>
          <w:sz w:val="20"/>
          <w:szCs w:val="20"/>
        </w:rPr>
      </w:pPr>
    </w:p>
    <w:p w:rsidR="00F56725" w:rsidRPr="0051099F" w:rsidRDefault="00F56725" w:rsidP="00F56725">
      <w:pPr>
        <w:spacing w:line="240" w:lineRule="auto"/>
        <w:ind w:firstLine="284"/>
        <w:jc w:val="center"/>
        <w:rPr>
          <w:rFonts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41B585E0" wp14:editId="6BDDAE93">
            <wp:extent cx="2390775" cy="2152650"/>
            <wp:effectExtent l="0" t="0" r="9525" b="0"/>
            <wp:docPr id="3" name="Рисунок 1" descr="D:\Научная деятельность\Публикации\статья в журнал Промышленная энергетика\Схема движения дымовых газов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D:\Научная деятельность\Публикации\статья в журнал Промышленная энергетика\Схема движения дымовых газов.bmp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CF0"/>
                        </a:clrFrom>
                        <a:clrTo>
                          <a:srgbClr val="FEFC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48" cy="215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25" w:rsidRPr="003E23F2" w:rsidRDefault="00F56725" w:rsidP="00F56725">
      <w:pPr>
        <w:spacing w:line="240" w:lineRule="auto"/>
        <w:ind w:firstLine="284"/>
        <w:rPr>
          <w:rFonts w:cs="Times New Roman"/>
          <w:sz w:val="16"/>
          <w:szCs w:val="16"/>
        </w:rPr>
      </w:pPr>
      <w:r w:rsidRPr="003E23F2">
        <w:rPr>
          <w:rFonts w:cs="Times New Roman"/>
          <w:sz w:val="16"/>
          <w:szCs w:val="16"/>
        </w:rPr>
        <w:t xml:space="preserve">Рис. 3. Схема использования теплоты стекломассы: </w:t>
      </w:r>
      <w:proofErr w:type="spellStart"/>
      <w:proofErr w:type="gramStart"/>
      <w:r w:rsidRPr="003E23F2">
        <w:rPr>
          <w:rFonts w:cs="Times New Roman"/>
          <w:sz w:val="16"/>
          <w:szCs w:val="16"/>
        </w:rPr>
        <w:t>ст</w:t>
      </w:r>
      <w:proofErr w:type="spellEnd"/>
      <w:proofErr w:type="gramEnd"/>
      <w:r w:rsidRPr="003E23F2">
        <w:rPr>
          <w:rFonts w:cs="Times New Roman"/>
          <w:sz w:val="16"/>
          <w:szCs w:val="16"/>
        </w:rPr>
        <w:t xml:space="preserve"> – стекломасса; </w:t>
      </w:r>
      <w:proofErr w:type="spellStart"/>
      <w:r w:rsidRPr="003E23F2">
        <w:rPr>
          <w:rFonts w:cs="Times New Roman"/>
          <w:sz w:val="16"/>
          <w:szCs w:val="16"/>
        </w:rPr>
        <w:t>твс</w:t>
      </w:r>
      <w:proofErr w:type="spellEnd"/>
      <w:r w:rsidRPr="003E23F2">
        <w:rPr>
          <w:rFonts w:cs="Times New Roman"/>
          <w:sz w:val="16"/>
          <w:szCs w:val="16"/>
        </w:rPr>
        <w:t xml:space="preserve"> – топливовоздушная смесь; </w:t>
      </w:r>
      <w:proofErr w:type="spellStart"/>
      <w:r w:rsidRPr="003E23F2">
        <w:rPr>
          <w:rFonts w:cs="Times New Roman"/>
          <w:sz w:val="16"/>
          <w:szCs w:val="16"/>
        </w:rPr>
        <w:t>дг</w:t>
      </w:r>
      <w:proofErr w:type="spellEnd"/>
      <w:r w:rsidRPr="003E23F2">
        <w:rPr>
          <w:rFonts w:cs="Times New Roman"/>
          <w:sz w:val="16"/>
          <w:szCs w:val="16"/>
        </w:rPr>
        <w:t xml:space="preserve"> – дымовые газы; т – нагреваемый теплоноситель (например шихта); 1 – </w:t>
      </w:r>
      <w:proofErr w:type="spellStart"/>
      <w:r w:rsidRPr="003E23F2">
        <w:rPr>
          <w:rFonts w:cs="Times New Roman"/>
          <w:sz w:val="16"/>
          <w:szCs w:val="16"/>
        </w:rPr>
        <w:t>студочный</w:t>
      </w:r>
      <w:proofErr w:type="spellEnd"/>
      <w:r w:rsidRPr="003E23F2">
        <w:rPr>
          <w:rFonts w:cs="Times New Roman"/>
          <w:sz w:val="16"/>
          <w:szCs w:val="16"/>
        </w:rPr>
        <w:t xml:space="preserve"> бассейн и каналы питателей; 2 – теплоиспользующее устройство (например подогреватель шихты); 3 – вентилятор; 4 – сброс дымовых газов в атмосферу; 5 – заслонка.</w:t>
      </w:r>
    </w:p>
    <w:p w:rsidR="00F56725" w:rsidRDefault="00F56725" w:rsidP="008C4738">
      <w:pPr>
        <w:spacing w:line="240" w:lineRule="auto"/>
        <w:ind w:firstLine="284"/>
        <w:rPr>
          <w:rFonts w:cs="Times New Roman"/>
          <w:sz w:val="20"/>
          <w:szCs w:val="20"/>
        </w:rPr>
      </w:pPr>
    </w:p>
    <w:p w:rsidR="003E23F2" w:rsidRDefault="003E23F2" w:rsidP="00604419">
      <w:pPr>
        <w:spacing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Произведен расчет радиационного теплооб</w:t>
      </w:r>
      <w:bookmarkStart w:id="0" w:name="_GoBack"/>
      <w:bookmarkEnd w:id="0"/>
      <w:r>
        <w:rPr>
          <w:rFonts w:cs="Times New Roman"/>
          <w:sz w:val="20"/>
          <w:szCs w:val="20"/>
        </w:rPr>
        <w:t>мена между стекломассо</w:t>
      </w:r>
      <w:r w:rsidR="00604419">
        <w:rPr>
          <w:rFonts w:cs="Times New Roman"/>
          <w:sz w:val="20"/>
          <w:szCs w:val="20"/>
        </w:rPr>
        <w:t>й и дымовыми газами</w:t>
      </w:r>
      <w:r>
        <w:rPr>
          <w:rFonts w:cs="Times New Roman"/>
          <w:sz w:val="20"/>
          <w:szCs w:val="20"/>
        </w:rPr>
        <w:t xml:space="preserve"> в </w:t>
      </w:r>
      <w:proofErr w:type="spellStart"/>
      <w:r>
        <w:rPr>
          <w:rFonts w:cs="Times New Roman"/>
          <w:sz w:val="20"/>
          <w:szCs w:val="20"/>
        </w:rPr>
        <w:t>студочной</w:t>
      </w:r>
      <w:proofErr w:type="spellEnd"/>
      <w:r>
        <w:rPr>
          <w:rFonts w:cs="Times New Roman"/>
          <w:sz w:val="20"/>
          <w:szCs w:val="20"/>
        </w:rPr>
        <w:t xml:space="preserve"> части стекловаренной печи. Показано, что радиационный теплообмен может протекать с высокой интенсивностью, что обеспечивает небольшие размеры </w:t>
      </w:r>
      <w:proofErr w:type="spellStart"/>
      <w:r>
        <w:rPr>
          <w:rFonts w:cs="Times New Roman"/>
          <w:sz w:val="20"/>
          <w:szCs w:val="20"/>
        </w:rPr>
        <w:t>студочного</w:t>
      </w:r>
      <w:proofErr w:type="spellEnd"/>
      <w:r>
        <w:rPr>
          <w:rFonts w:cs="Times New Roman"/>
          <w:sz w:val="20"/>
          <w:szCs w:val="20"/>
        </w:rPr>
        <w:t xml:space="preserve"> бассейна</w:t>
      </w:r>
      <w:r w:rsidRPr="003E23F2">
        <w:rPr>
          <w:rFonts w:cs="Times New Roman"/>
          <w:sz w:val="20"/>
          <w:szCs w:val="20"/>
        </w:rPr>
        <w:t>.</w:t>
      </w:r>
    </w:p>
    <w:p w:rsidR="003E23F2" w:rsidRPr="00201C3F" w:rsidRDefault="00201C3F" w:rsidP="008C4738">
      <w:pPr>
        <w:spacing w:line="240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Произведен расчет внутреннего теплообмена в слое стекломассы</w:t>
      </w:r>
      <w:r w:rsidRPr="00201C3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средствами </w:t>
      </w:r>
      <w:r>
        <w:rPr>
          <w:rFonts w:cs="Times New Roman"/>
          <w:sz w:val="20"/>
          <w:szCs w:val="20"/>
          <w:lang w:val="en-US"/>
        </w:rPr>
        <w:t>ANSYS</w:t>
      </w:r>
      <w:r w:rsidRPr="00201C3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Fluent</w:t>
      </w:r>
      <w:r w:rsidR="003E23F2">
        <w:rPr>
          <w:rFonts w:cs="Times New Roman"/>
          <w:sz w:val="20"/>
          <w:szCs w:val="20"/>
        </w:rPr>
        <w:t xml:space="preserve">. Показано, что интенсивность охлаждения стекломассы ограничена </w:t>
      </w:r>
      <w:r>
        <w:rPr>
          <w:rFonts w:cs="Times New Roman"/>
          <w:sz w:val="20"/>
          <w:szCs w:val="20"/>
        </w:rPr>
        <w:t>возникновением больших градиентов температур по толщине слоя стекломассы. Выведена формула для расчета градиента температур</w:t>
      </w:r>
      <w:r w:rsidRPr="00201C3F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возникающего при верхнем охлаждении слоя стекломассы:</w:t>
      </w:r>
    </w:p>
    <w:p w:rsidR="00604419" w:rsidRPr="00604419" w:rsidRDefault="00F56725" w:rsidP="00201C3F">
      <w:pPr>
        <w:spacing w:line="240" w:lineRule="auto"/>
        <w:ind w:firstLine="284"/>
        <w:rPr>
          <w:rFonts w:eastAsiaTheme="minorEastAsia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Δt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верх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·H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·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эф</m:t>
                  </m:r>
                </m:sub>
              </m:sSub>
            </m:den>
          </m:f>
          <m:r>
            <w:rPr>
              <w:rFonts w:ascii="Cambria Math" w:hAnsi="Cambria Math" w:cs="Times New Roman"/>
              <w:sz w:val="20"/>
              <w:szCs w:val="20"/>
            </w:rPr>
            <m:t>;</m:t>
          </m:r>
        </m:oMath>
      </m:oMathPara>
    </w:p>
    <w:p w:rsidR="0051099F" w:rsidRPr="00604419" w:rsidRDefault="00201C3F" w:rsidP="00201C3F">
      <w:pPr>
        <w:spacing w:line="240" w:lineRule="auto"/>
        <w:ind w:firstLine="284"/>
        <w:rPr>
          <w:rFonts w:eastAsiaTheme="minorEastAsia" w:cs="Times New Roman"/>
          <w:sz w:val="20"/>
          <w:szCs w:val="20"/>
        </w:rPr>
      </w:pPr>
      <w:r w:rsidRPr="0051099F">
        <w:rPr>
          <w:rFonts w:cs="Times New Roman"/>
          <w:sz w:val="20"/>
          <w:szCs w:val="20"/>
        </w:rPr>
        <w:t>Где</w:t>
      </w:r>
      <w:r>
        <w:rPr>
          <w:rFonts w:cs="Times New Roman"/>
          <w:sz w:val="20"/>
          <w:szCs w:val="20"/>
        </w:rPr>
        <w:t xml:space="preserve"> Δ</w:t>
      </w:r>
      <w:r>
        <w:rPr>
          <w:rFonts w:cs="Times New Roman"/>
          <w:sz w:val="20"/>
          <w:szCs w:val="20"/>
          <w:lang w:val="en-US"/>
        </w:rPr>
        <w:t>t</w:t>
      </w:r>
      <w:r w:rsidRPr="00201C3F">
        <w:rPr>
          <w:rFonts w:cs="Times New Roman"/>
          <w:sz w:val="20"/>
          <w:szCs w:val="20"/>
          <w:vertAlign w:val="subscript"/>
        </w:rPr>
        <w:t>1</w:t>
      </w:r>
      <w:r w:rsidRPr="0051099F">
        <w:rPr>
          <w:rFonts w:eastAsiaTheme="minorEastAsia" w:cs="Times New Roman"/>
          <w:sz w:val="20"/>
          <w:szCs w:val="20"/>
        </w:rPr>
        <w:t xml:space="preserve"> - температурная неоднородность стекломассы</w:t>
      </w:r>
      <w:r w:rsidRPr="0051099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q</w:t>
      </w:r>
      <w:r>
        <w:rPr>
          <w:rFonts w:cs="Times New Roman"/>
          <w:sz w:val="20"/>
          <w:szCs w:val="20"/>
          <w:vertAlign w:val="subscript"/>
        </w:rPr>
        <w:t>верх</w:t>
      </w:r>
      <w:r w:rsidRPr="00201C3F">
        <w:rPr>
          <w:rFonts w:cs="Times New Roman"/>
          <w:sz w:val="20"/>
          <w:szCs w:val="20"/>
        </w:rPr>
        <w:t xml:space="preserve"> </w:t>
      </w:r>
      <w:r w:rsidRPr="0051099F">
        <w:rPr>
          <w:rFonts w:eastAsiaTheme="minorEastAsia" w:cs="Times New Roman"/>
          <w:sz w:val="20"/>
          <w:szCs w:val="20"/>
        </w:rPr>
        <w:t xml:space="preserve">- плотность теплового потока на поверхности стекломассы,  Н – толщина слоя стекломассы; </w:t>
      </w:r>
      <w:proofErr w:type="spellStart"/>
      <w:r>
        <w:rPr>
          <w:rFonts w:eastAsiaTheme="minorEastAsia" w:cs="Times New Roman"/>
          <w:sz w:val="20"/>
          <w:szCs w:val="20"/>
          <w:lang w:val="en-US"/>
        </w:rPr>
        <w:t>Nu</w:t>
      </w:r>
      <w:r>
        <w:rPr>
          <w:rFonts w:eastAsiaTheme="minorEastAsia" w:cs="Times New Roman"/>
          <w:sz w:val="20"/>
          <w:szCs w:val="20"/>
          <w:vertAlign w:val="subscript"/>
          <w:lang w:val="en-US"/>
        </w:rPr>
        <w:t>h</w:t>
      </w:r>
      <w:proofErr w:type="spellEnd"/>
      <w:r w:rsidR="009A29BF">
        <w:rPr>
          <w:rFonts w:eastAsiaTheme="minorEastAsia" w:cs="Times New Roman"/>
          <w:sz w:val="20"/>
          <w:szCs w:val="20"/>
          <w:vertAlign w:val="subscript"/>
        </w:rPr>
        <w:t xml:space="preserve"> </w:t>
      </w:r>
      <w:r w:rsidR="009A29BF">
        <w:rPr>
          <w:rFonts w:eastAsiaTheme="minorEastAsia" w:cs="Times New Roman"/>
          <w:sz w:val="20"/>
          <w:szCs w:val="20"/>
        </w:rPr>
        <w:t>= 4,23 - число Нуссельта</w:t>
      </w:r>
      <w:r w:rsidRPr="0051099F">
        <w:rPr>
          <w:rFonts w:eastAsiaTheme="minorEastAsia" w:cs="Times New Roman"/>
          <w:sz w:val="20"/>
          <w:szCs w:val="20"/>
        </w:rPr>
        <w:t xml:space="preserve">;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эф</m:t>
            </m:r>
          </m:sub>
        </m:sSub>
      </m:oMath>
      <w:r w:rsidRPr="0051099F">
        <w:rPr>
          <w:rFonts w:eastAsiaTheme="minorEastAsia" w:cs="Times New Roman"/>
          <w:sz w:val="20"/>
          <w:szCs w:val="20"/>
        </w:rPr>
        <w:t xml:space="preserve"> - эффективная теплопроводность стекломассы, равная 40-80 Вт/м</w:t>
      </w:r>
      <w:proofErr w:type="gramStart"/>
      <w:r w:rsidRPr="0051099F">
        <w:rPr>
          <w:rFonts w:eastAsiaTheme="minorEastAsia" w:cs="Times New Roman"/>
          <w:sz w:val="20"/>
          <w:szCs w:val="20"/>
        </w:rPr>
        <w:t>/К</w:t>
      </w:r>
      <w:proofErr w:type="gramEnd"/>
      <w:r w:rsidRPr="0051099F">
        <w:rPr>
          <w:rFonts w:eastAsiaTheme="minorEastAsia" w:cs="Times New Roman"/>
          <w:sz w:val="20"/>
          <w:szCs w:val="20"/>
        </w:rPr>
        <w:t xml:space="preserve"> для бесцветного стекла и 10-20 Вт/м/К </w:t>
      </w:r>
      <w:r w:rsidR="00604419">
        <w:rPr>
          <w:rFonts w:eastAsiaTheme="minorEastAsia" w:cs="Times New Roman"/>
          <w:sz w:val="20"/>
          <w:szCs w:val="20"/>
        </w:rPr>
        <w:t>для окрашенного стекла</w:t>
      </w:r>
      <w:r w:rsidRPr="0051099F">
        <w:rPr>
          <w:rFonts w:eastAsiaTheme="minorEastAsia" w:cs="Times New Roman"/>
          <w:sz w:val="20"/>
          <w:szCs w:val="20"/>
        </w:rPr>
        <w:t>.</w:t>
      </w:r>
    </w:p>
    <w:p w:rsidR="0051099F" w:rsidRDefault="0051099F" w:rsidP="0051099F"/>
    <w:p w:rsidR="00B572BD" w:rsidRPr="009068AB" w:rsidRDefault="00B572BD" w:rsidP="00F56725">
      <w:pPr>
        <w:spacing w:line="240" w:lineRule="auto"/>
        <w:ind w:firstLine="0"/>
        <w:rPr>
          <w:sz w:val="20"/>
        </w:rPr>
      </w:pPr>
    </w:p>
    <w:sectPr w:rsidR="00B572BD" w:rsidRPr="009068AB" w:rsidSect="0051099F">
      <w:pgSz w:w="8391" w:h="11907" w:code="11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25" w:rsidRDefault="00F56725" w:rsidP="00F10140">
      <w:pPr>
        <w:spacing w:line="240" w:lineRule="auto"/>
      </w:pPr>
      <w:r>
        <w:separator/>
      </w:r>
    </w:p>
  </w:endnote>
  <w:endnote w:type="continuationSeparator" w:id="0">
    <w:p w:rsidR="00F56725" w:rsidRDefault="00F56725" w:rsidP="00F10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25" w:rsidRDefault="00F56725" w:rsidP="00F10140">
      <w:pPr>
        <w:spacing w:line="240" w:lineRule="auto"/>
      </w:pPr>
      <w:r>
        <w:separator/>
      </w:r>
    </w:p>
  </w:footnote>
  <w:footnote w:type="continuationSeparator" w:id="0">
    <w:p w:rsidR="00F56725" w:rsidRDefault="00F56725" w:rsidP="00F10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E38"/>
    <w:multiLevelType w:val="hybridMultilevel"/>
    <w:tmpl w:val="A65CAFF0"/>
    <w:lvl w:ilvl="0" w:tplc="2AF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B253F"/>
    <w:multiLevelType w:val="hybridMultilevel"/>
    <w:tmpl w:val="2B12C2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2A806D6"/>
    <w:multiLevelType w:val="hybridMultilevel"/>
    <w:tmpl w:val="B54836BE"/>
    <w:lvl w:ilvl="0" w:tplc="34AAE4A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FF8256A"/>
    <w:multiLevelType w:val="hybridMultilevel"/>
    <w:tmpl w:val="55621110"/>
    <w:lvl w:ilvl="0" w:tplc="C74AF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AC"/>
    <w:rsid w:val="000027EA"/>
    <w:rsid w:val="000E4882"/>
    <w:rsid w:val="001308FE"/>
    <w:rsid w:val="001A40D9"/>
    <w:rsid w:val="00201C3F"/>
    <w:rsid w:val="00274008"/>
    <w:rsid w:val="0027471F"/>
    <w:rsid w:val="002D7D5C"/>
    <w:rsid w:val="003047EF"/>
    <w:rsid w:val="003E23F2"/>
    <w:rsid w:val="00430B03"/>
    <w:rsid w:val="0043130C"/>
    <w:rsid w:val="004C3492"/>
    <w:rsid w:val="0051099F"/>
    <w:rsid w:val="00520E3C"/>
    <w:rsid w:val="00525FE6"/>
    <w:rsid w:val="00550FA1"/>
    <w:rsid w:val="00553540"/>
    <w:rsid w:val="0058202E"/>
    <w:rsid w:val="00604419"/>
    <w:rsid w:val="00617012"/>
    <w:rsid w:val="006673E9"/>
    <w:rsid w:val="006F609F"/>
    <w:rsid w:val="00714716"/>
    <w:rsid w:val="00726740"/>
    <w:rsid w:val="0075223F"/>
    <w:rsid w:val="007F74B6"/>
    <w:rsid w:val="00802F88"/>
    <w:rsid w:val="008244DC"/>
    <w:rsid w:val="00840607"/>
    <w:rsid w:val="00870206"/>
    <w:rsid w:val="008C4738"/>
    <w:rsid w:val="008E7DAC"/>
    <w:rsid w:val="009068AB"/>
    <w:rsid w:val="009327A9"/>
    <w:rsid w:val="00952E66"/>
    <w:rsid w:val="009A29BF"/>
    <w:rsid w:val="009B2DB5"/>
    <w:rsid w:val="00A403BC"/>
    <w:rsid w:val="00A665AA"/>
    <w:rsid w:val="00B14FC8"/>
    <w:rsid w:val="00B16D1A"/>
    <w:rsid w:val="00B4398A"/>
    <w:rsid w:val="00B572BD"/>
    <w:rsid w:val="00B708CE"/>
    <w:rsid w:val="00C207BC"/>
    <w:rsid w:val="00C35DD7"/>
    <w:rsid w:val="00C6488E"/>
    <w:rsid w:val="00C770B2"/>
    <w:rsid w:val="00C926A2"/>
    <w:rsid w:val="00CD6B85"/>
    <w:rsid w:val="00CF1B81"/>
    <w:rsid w:val="00D85900"/>
    <w:rsid w:val="00E51F85"/>
    <w:rsid w:val="00EB7037"/>
    <w:rsid w:val="00EE5952"/>
    <w:rsid w:val="00EE5A08"/>
    <w:rsid w:val="00F07699"/>
    <w:rsid w:val="00F10140"/>
    <w:rsid w:val="00F1064F"/>
    <w:rsid w:val="00F56725"/>
    <w:rsid w:val="00FF42A4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8F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0E4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7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014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140"/>
    <w:rPr>
      <w:rFonts w:ascii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101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140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8F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0E4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7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014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140"/>
    <w:rPr>
      <w:rFonts w:ascii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101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140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22</cp:revision>
  <dcterms:created xsi:type="dcterms:W3CDTF">2012-10-02T13:14:00Z</dcterms:created>
  <dcterms:modified xsi:type="dcterms:W3CDTF">2015-01-19T12:00:00Z</dcterms:modified>
</cp:coreProperties>
</file>