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8D" w:rsidRDefault="00E7568D" w:rsidP="00E7568D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AC21D6">
        <w:rPr>
          <w:rFonts w:ascii="Times New Roman" w:hAnsi="Times New Roman"/>
          <w:b/>
          <w:i/>
          <w:sz w:val="20"/>
          <w:szCs w:val="20"/>
        </w:rPr>
        <w:t>Ахметжанов</w:t>
      </w:r>
      <w:proofErr w:type="spellEnd"/>
      <w:r w:rsidRPr="00AC21D6">
        <w:rPr>
          <w:rFonts w:ascii="Times New Roman" w:hAnsi="Times New Roman"/>
          <w:b/>
          <w:i/>
          <w:sz w:val="20"/>
          <w:szCs w:val="20"/>
        </w:rPr>
        <w:t xml:space="preserve"> Т.Б., к.т.н., </w:t>
      </w:r>
      <w:proofErr w:type="spellStart"/>
      <w:r w:rsidRPr="00AC21D6">
        <w:rPr>
          <w:rFonts w:ascii="Times New Roman" w:hAnsi="Times New Roman"/>
          <w:b/>
          <w:i/>
          <w:sz w:val="20"/>
          <w:szCs w:val="20"/>
        </w:rPr>
        <w:t>Даненова</w:t>
      </w:r>
      <w:proofErr w:type="spellEnd"/>
      <w:r w:rsidRPr="00AC21D6">
        <w:rPr>
          <w:rFonts w:ascii="Times New Roman" w:hAnsi="Times New Roman"/>
          <w:b/>
          <w:i/>
          <w:sz w:val="20"/>
          <w:szCs w:val="20"/>
        </w:rPr>
        <w:t xml:space="preserve"> Г.Т., к.т.н., доцент</w:t>
      </w:r>
    </w:p>
    <w:p w:rsidR="00E7568D" w:rsidRDefault="00E7568D" w:rsidP="00E7568D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КарГТУ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.К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араганда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>, Казахстан)</w:t>
      </w:r>
    </w:p>
    <w:p w:rsidR="00E7568D" w:rsidRPr="00AC21D6" w:rsidRDefault="00E7568D" w:rsidP="00E7568D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E7568D" w:rsidRDefault="00E7568D" w:rsidP="00E75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1D6">
        <w:rPr>
          <w:rFonts w:ascii="Times New Roman" w:hAnsi="Times New Roman"/>
          <w:b/>
          <w:sz w:val="24"/>
          <w:szCs w:val="24"/>
        </w:rPr>
        <w:t>ПОЛУЧЕНИЕ РЕГРЕССИОННЫХ ЗАВИСИМОСТЕЙ ДЛЯ ОЦЕНКИ ПРОЧНОСТИ МАЛОКЛИНКЕРНЫХ ВЯЖУЩИХ</w:t>
      </w:r>
    </w:p>
    <w:p w:rsidR="00E7568D" w:rsidRPr="002C76F9" w:rsidRDefault="00E7568D" w:rsidP="00E7568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7568D" w:rsidRPr="0054108E" w:rsidRDefault="00E7568D" w:rsidP="0054108E">
      <w:pPr>
        <w:pStyle w:val="a6"/>
      </w:pPr>
      <w:r w:rsidRPr="0054108E">
        <w:t xml:space="preserve">Для выявления потенциальных возможностей малоклинкерных вяжущих были исследованы особенности составов и свойств малоклинкерных вяжущих с использованием активных минеральных добавок - </w:t>
      </w:r>
      <w:proofErr w:type="spellStart"/>
      <w:r w:rsidRPr="0054108E">
        <w:t>высококальциевой</w:t>
      </w:r>
      <w:proofErr w:type="spellEnd"/>
      <w:r w:rsidRPr="0054108E">
        <w:t xml:space="preserve"> буроугольной золы КАТЭК и доменного гранулированного шлака Карагандинского металлургического комбината. </w:t>
      </w:r>
      <w:proofErr w:type="gramStart"/>
      <w:r w:rsidRPr="0054108E">
        <w:t>Вяжущие</w:t>
      </w:r>
      <w:proofErr w:type="gramEnd"/>
      <w:r w:rsidRPr="0054108E">
        <w:t xml:space="preserve"> изготавливались на основе Карагандинского портландцемента. Эксперименты проводились с применением методов математической статистики и планирования эксперимента. Применены два метода получения регрессионных зависимостей: традиц</w:t>
      </w:r>
      <w:r w:rsidRPr="0054108E">
        <w:t>и</w:t>
      </w:r>
      <w:r w:rsidRPr="0054108E">
        <w:t>онный и нетрадиционный. При этом факторы варьирования назначались следующие: х</w:t>
      </w:r>
      <w:proofErr w:type="gramStart"/>
      <w:r w:rsidRPr="0054108E">
        <w:rPr>
          <w:vertAlign w:val="subscript"/>
        </w:rPr>
        <w:t>1</w:t>
      </w:r>
      <w:proofErr w:type="gramEnd"/>
      <w:r w:rsidRPr="0054108E">
        <w:t xml:space="preserve"> – клинкерная составляющая цемента; х</w:t>
      </w:r>
      <w:r w:rsidRPr="0054108E">
        <w:rPr>
          <w:vertAlign w:val="subscript"/>
        </w:rPr>
        <w:t>2</w:t>
      </w:r>
      <w:r w:rsidRPr="0054108E">
        <w:t xml:space="preserve"> - дозировки </w:t>
      </w:r>
      <w:proofErr w:type="spellStart"/>
      <w:r w:rsidRPr="0054108E">
        <w:t>суперпластификатора</w:t>
      </w:r>
      <w:proofErr w:type="spellEnd"/>
      <w:r w:rsidRPr="0054108E">
        <w:rPr>
          <w:b/>
          <w:bCs/>
        </w:rPr>
        <w:t xml:space="preserve"> </w:t>
      </w:r>
      <w:r w:rsidRPr="0054108E">
        <w:t>С-3;  х</w:t>
      </w:r>
      <w:r w:rsidRPr="0054108E">
        <w:rPr>
          <w:vertAlign w:val="subscript"/>
        </w:rPr>
        <w:t>3</w:t>
      </w:r>
      <w:r w:rsidRPr="0054108E">
        <w:t xml:space="preserve"> -</w:t>
      </w:r>
      <w:r w:rsidR="001D597B" w:rsidRPr="001D597B">
        <w:t xml:space="preserve"> </w:t>
      </w:r>
      <w:r w:rsidRPr="0054108E">
        <w:t>удельная поверхность вяжущих. В качестве выходных параметров использовались прочность стандартных растворов в возрасте 1 и 28 суток после пропаривания по режиму 2+3+6+2 ч при температуре изотермического прогрева 80-85</w:t>
      </w:r>
      <w:r w:rsidRPr="0054108E">
        <w:rPr>
          <w:vertAlign w:val="superscript"/>
        </w:rPr>
        <w:t>0</w:t>
      </w:r>
      <w:r w:rsidRPr="0054108E">
        <w:t>С (таблица 1).</w:t>
      </w:r>
    </w:p>
    <w:p w:rsidR="00E7568D" w:rsidRPr="005E5B7C" w:rsidRDefault="00E7568D" w:rsidP="0054108E">
      <w:pPr>
        <w:pStyle w:val="a6"/>
      </w:pPr>
    </w:p>
    <w:p w:rsidR="00E7568D" w:rsidRPr="002C76F9" w:rsidRDefault="00E7568D" w:rsidP="0054108E">
      <w:pPr>
        <w:pStyle w:val="a6"/>
      </w:pPr>
      <w:r w:rsidRPr="002C76F9">
        <w:t xml:space="preserve">Таблица 1 -Значения параметров прочности стандартных растворов </w:t>
      </w:r>
    </w:p>
    <w:tbl>
      <w:tblPr>
        <w:tblW w:w="0" w:type="auto"/>
        <w:jc w:val="center"/>
        <w:tblInd w:w="-2443" w:type="dxa"/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1"/>
        <w:gridCol w:w="850"/>
        <w:gridCol w:w="851"/>
      </w:tblGrid>
      <w:tr w:rsidR="00E7568D" w:rsidRPr="00783A03" w:rsidTr="00FC7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783A03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783A03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783A03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783A0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783A03">
              <w:rPr>
                <w:rFonts w:ascii="Times New Roman" w:hAnsi="Times New Roman"/>
                <w:sz w:val="16"/>
                <w:szCs w:val="16"/>
              </w:rPr>
              <w:t>,%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783A03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783A03">
              <w:rPr>
                <w:rFonts w:ascii="Times New Roman" w:hAnsi="Times New Roman"/>
                <w:sz w:val="16"/>
                <w:szCs w:val="16"/>
              </w:rPr>
              <w:t>, см</w:t>
            </w:r>
            <w:r w:rsidRPr="00783A0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783A03">
              <w:rPr>
                <w:rFonts w:ascii="Times New Roman" w:hAnsi="Times New Roman"/>
                <w:sz w:val="16"/>
                <w:szCs w:val="16"/>
              </w:rPr>
              <w:t>/г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E8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Доменный шлак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Зола КАТЭК</w:t>
            </w:r>
          </w:p>
        </w:tc>
      </w:tr>
      <w:tr w:rsidR="00E7568D" w:rsidRPr="00783A03" w:rsidTr="00FC7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83A03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783A03">
              <w:rPr>
                <w:rFonts w:ascii="Times New Roman" w:hAnsi="Times New Roman"/>
                <w:sz w:val="16"/>
                <w:szCs w:val="16"/>
              </w:rPr>
              <w:t>, 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83A03">
              <w:rPr>
                <w:rFonts w:ascii="Times New Roman" w:hAnsi="Times New Roman"/>
                <w:sz w:val="16"/>
                <w:szCs w:val="16"/>
                <w:vertAlign w:val="subscript"/>
              </w:rPr>
              <w:t>28</w:t>
            </w:r>
            <w:r w:rsidRPr="00783A03">
              <w:rPr>
                <w:rFonts w:ascii="Times New Roman" w:hAnsi="Times New Roman"/>
                <w:sz w:val="16"/>
                <w:szCs w:val="16"/>
              </w:rPr>
              <w:t>, 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783A0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83A03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783A03">
              <w:rPr>
                <w:rFonts w:ascii="Times New Roman" w:hAnsi="Times New Roman"/>
                <w:sz w:val="16"/>
                <w:szCs w:val="16"/>
              </w:rPr>
              <w:t>, 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83A03">
              <w:rPr>
                <w:rFonts w:ascii="Times New Roman" w:hAnsi="Times New Roman"/>
                <w:sz w:val="16"/>
                <w:szCs w:val="16"/>
                <w:vertAlign w:val="subscript"/>
              </w:rPr>
              <w:t>28</w:t>
            </w:r>
            <w:r w:rsidRPr="00783A03">
              <w:rPr>
                <w:rFonts w:ascii="Times New Roman" w:hAnsi="Times New Roman"/>
                <w:sz w:val="16"/>
                <w:szCs w:val="16"/>
              </w:rPr>
              <w:t>, МПа</w:t>
            </w:r>
          </w:p>
        </w:tc>
      </w:tr>
      <w:tr w:rsidR="00E7568D" w:rsidRPr="00783A03" w:rsidTr="00FC7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6500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4500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5500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6500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32.1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18.9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33.8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29.5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38.7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26.4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42.6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35.2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29.9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20.5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26.5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27.4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19.0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35.3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26.6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35.4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32.2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23.7</w:t>
            </w:r>
          </w:p>
        </w:tc>
      </w:tr>
      <w:tr w:rsidR="00E7568D" w:rsidRPr="00783A03" w:rsidTr="00FC7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5500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5500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6500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5500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20.5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23.2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27.1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26.2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27.3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28.5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34.0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31.8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18.6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20.3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22.9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23.1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25.5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26.0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26.7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29.7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21.8</w:t>
            </w:r>
          </w:p>
        </w:tc>
      </w:tr>
      <w:tr w:rsidR="00E7568D" w:rsidRPr="00783A03" w:rsidTr="00FC7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1.5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6500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4500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5500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6500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20.8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7.7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16.6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12.1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25.9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13.0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21.1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19.1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21.6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6.3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14.1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15.1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7.0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25.0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9.8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19.8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18.9</w:t>
            </w:r>
          </w:p>
          <w:p w:rsidR="00E7568D" w:rsidRPr="00783A03" w:rsidRDefault="00E7568D" w:rsidP="00FC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3A03"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</w:tr>
    </w:tbl>
    <w:p w:rsidR="00E7568D" w:rsidRPr="0054108E" w:rsidRDefault="00E7568D" w:rsidP="0054108E">
      <w:pPr>
        <w:pStyle w:val="a6"/>
      </w:pPr>
    </w:p>
    <w:p w:rsidR="00E7568D" w:rsidRPr="0054108E" w:rsidRDefault="00E7568D" w:rsidP="0054108E">
      <w:pPr>
        <w:pStyle w:val="a6"/>
      </w:pPr>
      <w:r w:rsidRPr="0054108E">
        <w:lastRenderedPageBreak/>
        <w:t>Традиционный метод моделирования представляет собой целевую фун</w:t>
      </w:r>
      <w:r w:rsidRPr="0054108E">
        <w:t>к</w:t>
      </w:r>
      <w:r w:rsidRPr="0054108E">
        <w:t>цию в форме полинома некоторой степени, коэффициенты которого находя</w:t>
      </w:r>
      <w:r w:rsidRPr="0054108E">
        <w:t>т</w:t>
      </w:r>
      <w:r w:rsidRPr="0054108E">
        <w:t xml:space="preserve">ся решением системы линейных уравнений. Нетрадиционный метод базируется на разработках проф. </w:t>
      </w:r>
      <w:proofErr w:type="spellStart"/>
      <w:r w:rsidRPr="0054108E">
        <w:t>М.М.Протодьяконова</w:t>
      </w:r>
      <w:proofErr w:type="spellEnd"/>
      <w:r w:rsidRPr="0054108E">
        <w:t xml:space="preserve"> и заключается в выборе па</w:t>
      </w:r>
      <w:r w:rsidRPr="0054108E">
        <w:t>р</w:t>
      </w:r>
      <w:r w:rsidRPr="0054108E">
        <w:t>ных уравнений из числа 15-ти, заложенных в программу. Они, как правило, с достаточной надежностью описывают большинство явлений природы и те</w:t>
      </w:r>
      <w:r w:rsidRPr="0054108E">
        <w:t>х</w:t>
      </w:r>
      <w:r w:rsidRPr="0054108E">
        <w:t xml:space="preserve">нологических процессов с плавным изменением функции. </w:t>
      </w:r>
    </w:p>
    <w:p w:rsidR="00E7568D" w:rsidRPr="0054108E" w:rsidRDefault="00E7568D" w:rsidP="0054108E">
      <w:pPr>
        <w:pStyle w:val="a6"/>
      </w:pPr>
      <w:r w:rsidRPr="0054108E">
        <w:t>Для сопоставления методов сравним получаемые модели на одних и тех же исходных данных. По приведенным данным модели строились в двух вариантах: трад</w:t>
      </w:r>
      <w:r w:rsidRPr="0054108E">
        <w:t>и</w:t>
      </w:r>
      <w:r w:rsidRPr="0054108E">
        <w:t>ционными методами - полиномом второй степени; нетрадиционным методом - выбор зависимости осуществляется автоматически.</w:t>
      </w:r>
    </w:p>
    <w:p w:rsidR="00E7568D" w:rsidRDefault="00C86EFC" w:rsidP="0054108E">
      <w:pPr>
        <w:pStyle w:val="a6"/>
      </w:pPr>
      <w:r w:rsidRPr="00C86EFC">
        <w:t>Доменный гранулированный шлак</w:t>
      </w:r>
      <w:r w:rsidRPr="00C86EFC">
        <w:t xml:space="preserve"> - </w:t>
      </w:r>
      <w:r>
        <w:t>т</w:t>
      </w:r>
      <w:r w:rsidR="00E7568D" w:rsidRPr="00C86EFC">
        <w:t>радиционный</w:t>
      </w:r>
      <w:r w:rsidR="00E7568D" w:rsidRPr="0054108E">
        <w:t xml:space="preserve"> метод:</w:t>
      </w:r>
    </w:p>
    <w:p w:rsidR="00E87759" w:rsidRPr="00C86EFC" w:rsidRDefault="00E87759" w:rsidP="0054108E">
      <w:pPr>
        <w:pStyle w:val="a6"/>
      </w:pPr>
    </w:p>
    <w:p w:rsidR="007375C1" w:rsidRPr="001636D2" w:rsidRDefault="00D96313" w:rsidP="00E7568D">
      <w:pPr>
        <w:spacing w:after="0" w:line="240" w:lineRule="auto"/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28</m:t>
            </m:r>
          </m:sub>
        </m:sSub>
        <m:r>
          <w:rPr>
            <w:rFonts w:ascii="Cambria Math" w:hAnsi="Cambria Math"/>
          </w:rPr>
          <m:t>=25,4+7,46∙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+1,34</m:t>
        </m:r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+5,06</m:t>
        </m:r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+1,488</m:t>
        </m:r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1636D2">
        <w:t xml:space="preserve">   (1)</w:t>
      </w:r>
    </w:p>
    <w:p w:rsidR="00E7568D" w:rsidRPr="001636D2" w:rsidRDefault="00E7568D" w:rsidP="00E7568D">
      <w:pPr>
        <w:spacing w:after="0" w:line="240" w:lineRule="auto"/>
      </w:pPr>
    </w:p>
    <w:p w:rsidR="00D47667" w:rsidRPr="001636D2" w:rsidRDefault="00D47667" w:rsidP="001636D2">
      <w:pPr>
        <w:spacing w:after="0" w:line="240" w:lineRule="auto"/>
        <w:jc w:val="right"/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=18,8+6,8∙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+1,05∙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+4,82∙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-1,18∙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+ 1,75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1636D2">
        <w:t xml:space="preserve">                                              (2)</w:t>
      </w:r>
    </w:p>
    <w:p w:rsidR="00D47667" w:rsidRPr="001636D2" w:rsidRDefault="001636D2" w:rsidP="00D47667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667" w:rsidRPr="00C86EFC" w:rsidRDefault="00D47667" w:rsidP="00D47667">
      <w:pPr>
        <w:pStyle w:val="a6"/>
      </w:pPr>
      <w:r w:rsidRPr="00C86EFC">
        <w:t xml:space="preserve">Доменный гранулированный шлак - </w:t>
      </w:r>
      <w:r>
        <w:t>не</w:t>
      </w:r>
      <w:r>
        <w:t>т</w:t>
      </w:r>
      <w:r w:rsidRPr="00C86EFC">
        <w:t>радиционный</w:t>
      </w:r>
      <w:r w:rsidRPr="0054108E">
        <w:t xml:space="preserve"> метод:</w:t>
      </w:r>
    </w:p>
    <w:p w:rsidR="00D47667" w:rsidRPr="00D47667" w:rsidRDefault="00D47667" w:rsidP="00D47667">
      <w:pPr>
        <w:spacing w:after="0" w:line="240" w:lineRule="auto"/>
      </w:pPr>
    </w:p>
    <w:p w:rsidR="00D47667" w:rsidRPr="001636D2" w:rsidRDefault="00D47667" w:rsidP="001636D2">
      <w:pPr>
        <w:spacing w:after="0" w:line="240" w:lineRule="auto"/>
        <w:jc w:val="right"/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28</m:t>
            </m:r>
          </m:sub>
        </m:sSub>
        <m:r>
          <w:rPr>
            <w:rFonts w:ascii="Cambria Math" w:hAnsi="Cambria Math"/>
          </w:rPr>
          <m:t>=30,47∙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lg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func>
        <m:r>
          <w:rPr>
            <w:rFonts w:ascii="Cambria Math" w:hAnsi="Cambria Math"/>
          </w:rPr>
          <m:t>-7</m:t>
        </m:r>
        <m:r>
          <w:rPr>
            <w:rFonts w:ascii="Cambria Math" w:hAnsi="Cambria Math"/>
          </w:rPr>
          <m:t>,91∙</m:t>
        </m:r>
        <m:sSubSup>
          <m:sSubSupPr>
            <m:ctrlPr>
              <w:rPr>
                <w:rFonts w:ascii="Cambria Math" w:eastAsiaTheme="minorHAnsi" w:hAnsi="Cambria Math"/>
                <w:i/>
              </w:rPr>
            </m:ctrlPr>
          </m:sSubSup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eastAsiaTheme="minorHAnsi" w:hAnsi="Cambria Math"/>
              </w:rPr>
              <m:t>2</m:t>
            </m:r>
          </m:sub>
          <m:sup>
            <m:r>
              <w:rPr>
                <w:rFonts w:ascii="Cambria Math" w:eastAsiaTheme="minorHAnsi" w:hAnsi="Cambria Math"/>
              </w:rPr>
              <m:t>2</m:t>
            </m:r>
          </m:sup>
        </m:sSubSup>
        <m:r>
          <w:rPr>
            <w:rFonts w:ascii="Cambria Math" w:hAnsi="Cambria Math"/>
          </w:rPr>
          <m:t>+32,78∙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-3,86∙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+0,048∙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eastAsiaTheme="minorHAnsi" w:hAnsi="Cambria Math" w:cstheme="minorBidi"/>
          </w:rPr>
          <m:t>-192</m:t>
        </m:r>
      </m:oMath>
      <w:r w:rsidR="001636D2">
        <w:t xml:space="preserve">                                                   (3)</w:t>
      </w:r>
    </w:p>
    <w:p w:rsidR="00D47667" w:rsidRDefault="00D47667" w:rsidP="00E7568D">
      <w:pPr>
        <w:spacing w:after="0" w:line="240" w:lineRule="auto"/>
      </w:pPr>
    </w:p>
    <w:p w:rsidR="00CC7017" w:rsidRDefault="00CC7017" w:rsidP="001636D2">
      <w:pPr>
        <w:spacing w:after="0" w:line="240" w:lineRule="auto"/>
        <w:jc w:val="right"/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,4∙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lg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func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4,07</m:t>
        </m:r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+0,0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-162,58)∙(16,89</m:t>
        </m:r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eastAsiaTheme="minorHAnsi" w:hAnsi="Cambria Math"/>
                <w:i/>
              </w:rPr>
            </m:ctrlPr>
          </m:sSubSup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eastAsiaTheme="minorHAnsi" w:hAnsi="Cambria Math"/>
              </w:rPr>
              <m:t>2</m:t>
            </m:r>
          </m:sub>
          <m:sup>
            <m:r>
              <w:rPr>
                <w:rFonts w:ascii="Cambria Math" w:eastAsiaTheme="minorHAnsi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,7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HAnsi" w:hAnsi="Cambria Math" w:cstheme="minorBidi"/>
          </w:rPr>
          <m:t>+0,25)</m:t>
        </m:r>
      </m:oMath>
      <w:r w:rsidR="001636D2">
        <w:t xml:space="preserve">                         (4)</w:t>
      </w:r>
    </w:p>
    <w:p w:rsidR="00CC7017" w:rsidRDefault="00CC7017" w:rsidP="00CC7017">
      <w:pPr>
        <w:pStyle w:val="a6"/>
      </w:pPr>
    </w:p>
    <w:p w:rsidR="00CC7017" w:rsidRDefault="00CC7017" w:rsidP="00CC7017">
      <w:pPr>
        <w:pStyle w:val="a6"/>
      </w:pPr>
      <w:r>
        <w:t xml:space="preserve">По всем этим показателям значительно выше надежность модели,  построенной нетрадиционным методом. </w:t>
      </w:r>
      <w:proofErr w:type="gramStart"/>
      <w:r w:rsidRPr="00E87759">
        <w:t xml:space="preserve">Проверка адекватности полученных выражений </w:t>
      </w:r>
      <w:r w:rsidR="00830FA0" w:rsidRPr="00E87759">
        <w:t xml:space="preserve">традиционным методом </w:t>
      </w:r>
      <w:r w:rsidRPr="00E87759">
        <w:t xml:space="preserve">по коэффициенту Фишера (F) показала их пригодность для описания исходных зависимостей в исследованных пределах изменения факторов (расчетное значение коэффициента Фишера </w:t>
      </w:r>
      <w:proofErr w:type="spellStart"/>
      <w:r w:rsidRPr="00E87759">
        <w:t>Fр</w:t>
      </w:r>
      <w:proofErr w:type="spellEnd"/>
      <w:r w:rsidRPr="00E87759">
        <w:t xml:space="preserve"> для R</w:t>
      </w:r>
      <w:r w:rsidRPr="00E87759">
        <w:rPr>
          <w:vertAlign w:val="subscript"/>
        </w:rPr>
        <w:t>28</w:t>
      </w:r>
      <w:r w:rsidRPr="00E87759">
        <w:t xml:space="preserve"> составило </w:t>
      </w:r>
      <w:r w:rsidR="00830FA0" w:rsidRPr="00E87759">
        <w:t>2</w:t>
      </w:r>
      <w:r w:rsidRPr="00E87759">
        <w:t>,</w:t>
      </w:r>
      <w:r w:rsidR="00830FA0" w:rsidRPr="00E87759">
        <w:t>4</w:t>
      </w:r>
      <w:r w:rsidR="00E87759">
        <w:t>;</w:t>
      </w:r>
      <w:r w:rsidRPr="00E87759">
        <w:t xml:space="preserve"> для R</w:t>
      </w:r>
      <w:r w:rsidRPr="00E87759">
        <w:rPr>
          <w:vertAlign w:val="subscript"/>
        </w:rPr>
        <w:t>1</w:t>
      </w:r>
      <w:r w:rsidRPr="00E87759">
        <w:t xml:space="preserve"> </w:t>
      </w:r>
      <w:r w:rsidR="00E87759" w:rsidRPr="00E87759">
        <w:t>–</w:t>
      </w:r>
      <w:r w:rsidRPr="00E87759">
        <w:t xml:space="preserve"> </w:t>
      </w:r>
      <w:r w:rsidR="00E87759" w:rsidRPr="00E87759">
        <w:t>3,6</w:t>
      </w:r>
      <w:r w:rsidRPr="00E87759">
        <w:t>.</w:t>
      </w:r>
      <w:proofErr w:type="gramEnd"/>
      <w:r w:rsidR="00E87759" w:rsidRPr="00E87759">
        <w:t xml:space="preserve"> </w:t>
      </w:r>
      <w:r w:rsidR="00E87759">
        <w:t xml:space="preserve">Коэффициент Фишера </w:t>
      </w:r>
      <w:r w:rsidR="00E87759" w:rsidRPr="00E87759">
        <w:t xml:space="preserve">полученных выражений </w:t>
      </w:r>
      <w:r w:rsidR="00E87759">
        <w:t>не</w:t>
      </w:r>
      <w:r w:rsidR="00E87759" w:rsidRPr="00E87759">
        <w:t>традиционным методом</w:t>
      </w:r>
      <w:r w:rsidR="00E87759" w:rsidRPr="00E87759">
        <w:t xml:space="preserve"> </w:t>
      </w:r>
      <w:r w:rsidR="00E87759" w:rsidRPr="00E87759">
        <w:t>для R</w:t>
      </w:r>
      <w:r w:rsidR="00E87759" w:rsidRPr="00E87759">
        <w:rPr>
          <w:vertAlign w:val="subscript"/>
        </w:rPr>
        <w:t>28</w:t>
      </w:r>
      <w:r w:rsidR="00E87759" w:rsidRPr="00E87759">
        <w:t xml:space="preserve"> составил </w:t>
      </w:r>
      <w:r w:rsidR="00E87759">
        <w:t>13,3;</w:t>
      </w:r>
      <w:r w:rsidR="00E87759" w:rsidRPr="00E87759">
        <w:t xml:space="preserve"> для R</w:t>
      </w:r>
      <w:r w:rsidR="00E87759" w:rsidRPr="00E87759">
        <w:rPr>
          <w:vertAlign w:val="subscript"/>
        </w:rPr>
        <w:t>1</w:t>
      </w:r>
      <w:r w:rsidR="00E87759" w:rsidRPr="00E87759">
        <w:t xml:space="preserve"> – </w:t>
      </w:r>
      <w:r w:rsidR="00E87759">
        <w:t xml:space="preserve">14,1. </w:t>
      </w:r>
    </w:p>
    <w:p w:rsidR="00CC7017" w:rsidRPr="00CC7017" w:rsidRDefault="00AD4485" w:rsidP="00AD4485">
      <w:pPr>
        <w:pStyle w:val="a6"/>
      </w:pPr>
      <w:r>
        <w:t>Наконец, еще одно преимущество нетрадиционного метода заключается в том, что частные (парные зависимости) могут быть выделены в отфильтр</w:t>
      </w:r>
      <w:r>
        <w:t>о</w:t>
      </w:r>
      <w:r>
        <w:t xml:space="preserve">ванном виде и представлены аналитически и графически. </w:t>
      </w:r>
      <w:bookmarkStart w:id="0" w:name="_GoBack"/>
      <w:bookmarkEnd w:id="0"/>
    </w:p>
    <w:sectPr w:rsidR="00CC7017" w:rsidRPr="00CC7017" w:rsidSect="0054108E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13"/>
    <w:rsid w:val="001636D2"/>
    <w:rsid w:val="001D597B"/>
    <w:rsid w:val="003F5788"/>
    <w:rsid w:val="0054108E"/>
    <w:rsid w:val="007375C1"/>
    <w:rsid w:val="00830FA0"/>
    <w:rsid w:val="00AD4485"/>
    <w:rsid w:val="00C86EFC"/>
    <w:rsid w:val="00CC7017"/>
    <w:rsid w:val="00D47667"/>
    <w:rsid w:val="00D96313"/>
    <w:rsid w:val="00E71CB8"/>
    <w:rsid w:val="00E7568D"/>
    <w:rsid w:val="00E87759"/>
    <w:rsid w:val="00F7217A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63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9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1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autoRedefine/>
    <w:semiHidden/>
    <w:rsid w:val="0054108E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41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">
    <w:name w:val="Основной текст (47)_"/>
    <w:basedOn w:val="a0"/>
    <w:link w:val="471"/>
    <w:uiPriority w:val="99"/>
    <w:rsid w:val="00AD4485"/>
    <w:rPr>
      <w:rFonts w:ascii="Palatino Linotype" w:hAnsi="Palatino Linotype" w:cs="Palatino Linotype"/>
      <w:sz w:val="23"/>
      <w:szCs w:val="23"/>
      <w:shd w:val="clear" w:color="auto" w:fill="FFFFFF"/>
    </w:rPr>
  </w:style>
  <w:style w:type="paragraph" w:customStyle="1" w:styleId="471">
    <w:name w:val="Основной текст (47)1"/>
    <w:basedOn w:val="a"/>
    <w:link w:val="47"/>
    <w:uiPriority w:val="99"/>
    <w:rsid w:val="00AD4485"/>
    <w:pPr>
      <w:shd w:val="clear" w:color="auto" w:fill="FFFFFF"/>
      <w:spacing w:before="120" w:after="0" w:line="326" w:lineRule="exact"/>
      <w:ind w:hanging="1680"/>
      <w:jc w:val="both"/>
    </w:pPr>
    <w:rPr>
      <w:rFonts w:ascii="Palatino Linotype" w:eastAsiaTheme="minorHAnsi" w:hAnsi="Palatino Linotype" w:cs="Palatino Linotype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63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9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1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autoRedefine/>
    <w:semiHidden/>
    <w:rsid w:val="0054108E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41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">
    <w:name w:val="Основной текст (47)_"/>
    <w:basedOn w:val="a0"/>
    <w:link w:val="471"/>
    <w:uiPriority w:val="99"/>
    <w:rsid w:val="00AD4485"/>
    <w:rPr>
      <w:rFonts w:ascii="Palatino Linotype" w:hAnsi="Palatino Linotype" w:cs="Palatino Linotype"/>
      <w:sz w:val="23"/>
      <w:szCs w:val="23"/>
      <w:shd w:val="clear" w:color="auto" w:fill="FFFFFF"/>
    </w:rPr>
  </w:style>
  <w:style w:type="paragraph" w:customStyle="1" w:styleId="471">
    <w:name w:val="Основной текст (47)1"/>
    <w:basedOn w:val="a"/>
    <w:link w:val="47"/>
    <w:uiPriority w:val="99"/>
    <w:rsid w:val="00AD4485"/>
    <w:pPr>
      <w:shd w:val="clear" w:color="auto" w:fill="FFFFFF"/>
      <w:spacing w:before="120" w:after="0" w:line="326" w:lineRule="exact"/>
      <w:ind w:hanging="1680"/>
      <w:jc w:val="both"/>
    </w:pPr>
    <w:rPr>
      <w:rFonts w:ascii="Palatino Linotype" w:eastAsiaTheme="minorHAnsi" w:hAnsi="Palatino Linotype" w:cs="Palatino Linotyp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2015-02-06T07:48:00Z</dcterms:created>
  <dcterms:modified xsi:type="dcterms:W3CDTF">2015-02-06T07:48:00Z</dcterms:modified>
</cp:coreProperties>
</file>