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06" w:rsidRDefault="004344E2" w:rsidP="00F1463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Е.С. </w:t>
      </w:r>
      <w:proofErr w:type="spellStart"/>
      <w:r>
        <w:rPr>
          <w:rFonts w:ascii="Times New Roman" w:hAnsi="Times New Roman" w:cs="Times New Roman"/>
          <w:b/>
          <w:i/>
          <w:sz w:val="20"/>
        </w:rPr>
        <w:t>Бельчикова</w:t>
      </w:r>
      <w:proofErr w:type="spellEnd"/>
      <w:r>
        <w:rPr>
          <w:rFonts w:ascii="Times New Roman" w:hAnsi="Times New Roman" w:cs="Times New Roman"/>
          <w:b/>
          <w:i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0"/>
        </w:rPr>
        <w:t>асп</w:t>
      </w:r>
      <w:proofErr w:type="spellEnd"/>
      <w:r>
        <w:rPr>
          <w:rFonts w:ascii="Times New Roman" w:hAnsi="Times New Roman" w:cs="Times New Roman"/>
          <w:b/>
          <w:i/>
          <w:sz w:val="20"/>
        </w:rPr>
        <w:t xml:space="preserve">.; рук. С.С. Чернов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0"/>
        </w:rPr>
        <w:t>к</w:t>
      </w:r>
      <w:proofErr w:type="gramEnd"/>
      <w:r>
        <w:rPr>
          <w:rFonts w:ascii="Times New Roman" w:hAnsi="Times New Roman" w:cs="Times New Roman"/>
          <w:b/>
          <w:i/>
          <w:sz w:val="20"/>
        </w:rPr>
        <w:t>.э.н</w:t>
      </w:r>
      <w:proofErr w:type="spellEnd"/>
      <w:r>
        <w:rPr>
          <w:rFonts w:ascii="Times New Roman" w:hAnsi="Times New Roman" w:cs="Times New Roman"/>
          <w:b/>
          <w:i/>
          <w:sz w:val="20"/>
        </w:rPr>
        <w:t>., доц.</w:t>
      </w:r>
    </w:p>
    <w:p w:rsidR="004344E2" w:rsidRDefault="004344E2" w:rsidP="00F1463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(НГТУ, г. Новосибирск)</w:t>
      </w:r>
    </w:p>
    <w:p w:rsidR="00F14634" w:rsidRDefault="007B1484" w:rsidP="00F1463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энергоэффективность российской </w:t>
      </w:r>
    </w:p>
    <w:p w:rsidR="004344E2" w:rsidRDefault="007B1484" w:rsidP="00F1463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экономики: </w:t>
      </w:r>
      <w:r w:rsidR="00F14634">
        <w:rPr>
          <w:rFonts w:ascii="Times New Roman" w:hAnsi="Times New Roman" w:cs="Times New Roman"/>
          <w:b/>
          <w:caps/>
          <w:sz w:val="24"/>
        </w:rPr>
        <w:t>актуальность вопроса</w:t>
      </w:r>
    </w:p>
    <w:p w:rsidR="004344E2" w:rsidRDefault="004344E2" w:rsidP="00F1463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</w:rPr>
      </w:pPr>
    </w:p>
    <w:p w:rsidR="004344E2" w:rsidRPr="004344E2" w:rsidRDefault="00DE1B90" w:rsidP="00322B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 xml:space="preserve">опрос повышения энергоэффективности </w:t>
      </w:r>
      <w:r>
        <w:rPr>
          <w:rFonts w:ascii="Times New Roman" w:hAnsi="Times New Roman" w:cs="Times New Roman"/>
          <w:color w:val="000000"/>
          <w:sz w:val="20"/>
          <w:szCs w:val="20"/>
        </w:rPr>
        <w:t>достаточно давно являе</w:t>
      </w:r>
      <w:r>
        <w:rPr>
          <w:rFonts w:ascii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sz w:val="20"/>
          <w:szCs w:val="20"/>
        </w:rPr>
        <w:t>ся актуальным для различных стран мира в связи с ухудшением экол</w:t>
      </w: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гической ситуации, результатами оценок запасов ископаемого топлива и значительной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волатильностью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цен на топливно-энергетические р</w:t>
      </w:r>
      <w:r>
        <w:rPr>
          <w:rFonts w:ascii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color w:val="000000"/>
          <w:sz w:val="20"/>
          <w:szCs w:val="20"/>
        </w:rPr>
        <w:t>сурсы. Д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 xml:space="preserve">ля России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этот вопрос 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является не менее актуальным, но при этом имеет свои предпосылки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607E7A">
        <w:rPr>
          <w:rFonts w:ascii="Times New Roman" w:hAnsi="Times New Roman" w:cs="Times New Roman"/>
          <w:color w:val="000000"/>
          <w:sz w:val="20"/>
          <w:szCs w:val="20"/>
        </w:rPr>
        <w:t xml:space="preserve">появившаяся </w:t>
      </w:r>
      <w:r>
        <w:rPr>
          <w:rFonts w:ascii="Times New Roman" w:hAnsi="Times New Roman" w:cs="Times New Roman"/>
          <w:color w:val="000000"/>
          <w:sz w:val="20"/>
          <w:szCs w:val="20"/>
        </w:rPr>
        <w:t>необходимость разрабо</w:t>
      </w:r>
      <w:r>
        <w:rPr>
          <w:rFonts w:ascii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sz w:val="20"/>
          <w:szCs w:val="20"/>
        </w:rPr>
        <w:t>ки труднодоступных месторождений ископаемого топлива, завис</w:t>
      </w:r>
      <w:r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>мость от мировых цен на углеводородное сырье, экологические аспе</w:t>
      </w: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hAnsi="Times New Roman" w:cs="Times New Roman"/>
          <w:color w:val="000000"/>
          <w:sz w:val="20"/>
          <w:szCs w:val="20"/>
        </w:rPr>
        <w:t>ты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. При этом нужно отметить, что реализацию программ повышения энерг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эффективности на настоящий момент в стране нельзя назвать успешной. По данным РЭА активность субъектов РФ в разрезе фед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ральных округов по выполнению региональных программ и меропри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тий в рамках ФЗ № 261 «Об энергосбережении и о повышении энерг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тической эффективности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…» по состоянию на март 2012 года состав</w:t>
      </w:r>
      <w:r w:rsidR="00607E7A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607E7A">
        <w:rPr>
          <w:rFonts w:ascii="Times New Roman" w:hAnsi="Times New Roman" w:cs="Times New Roman"/>
          <w:color w:val="000000"/>
          <w:sz w:val="20"/>
          <w:szCs w:val="20"/>
        </w:rPr>
        <w:t>ла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 xml:space="preserve"> менее 50% (рис. </w:t>
      </w:r>
      <w:r w:rsidR="00322B0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 xml:space="preserve">), при этом сам федеральный закон введен </w:t>
      </w:r>
      <w:r w:rsidR="00607E7A">
        <w:rPr>
          <w:rFonts w:ascii="Times New Roman" w:hAnsi="Times New Roman" w:cs="Times New Roman"/>
          <w:color w:val="000000"/>
          <w:sz w:val="20"/>
          <w:szCs w:val="20"/>
        </w:rPr>
        <w:t>в де</w:t>
      </w:r>
      <w:r w:rsidR="00607E7A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="00607E7A">
        <w:rPr>
          <w:rFonts w:ascii="Times New Roman" w:hAnsi="Times New Roman" w:cs="Times New Roman"/>
          <w:color w:val="000000"/>
          <w:sz w:val="20"/>
          <w:szCs w:val="20"/>
        </w:rPr>
        <w:t xml:space="preserve">ствие 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в н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4344E2" w:rsidRPr="004344E2">
        <w:rPr>
          <w:rFonts w:ascii="Times New Roman" w:hAnsi="Times New Roman" w:cs="Times New Roman"/>
          <w:color w:val="000000"/>
          <w:sz w:val="20"/>
          <w:szCs w:val="20"/>
        </w:rPr>
        <w:t>ябре 2009 года.</w:t>
      </w:r>
    </w:p>
    <w:p w:rsidR="004344E2" w:rsidRPr="004344E2" w:rsidRDefault="004344E2" w:rsidP="00322B07">
      <w:pPr>
        <w:autoSpaceDE w:val="0"/>
        <w:autoSpaceDN w:val="0"/>
        <w:adjustRightInd w:val="0"/>
        <w:spacing w:before="120"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344E2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09150" cy="1427891"/>
            <wp:effectExtent l="19050" t="19050" r="10300" b="19909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157" t="23077" r="11491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150" cy="14278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07" w:rsidRDefault="004344E2" w:rsidP="00322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20"/>
        </w:rPr>
      </w:pPr>
      <w:r w:rsidRPr="004344E2">
        <w:rPr>
          <w:rFonts w:ascii="Times New Roman" w:hAnsi="Times New Roman" w:cs="Times New Roman"/>
          <w:b/>
          <w:color w:val="000000"/>
          <w:sz w:val="16"/>
          <w:szCs w:val="20"/>
        </w:rPr>
        <w:t xml:space="preserve">Рисунок </w:t>
      </w:r>
      <w:r w:rsidR="00322B07">
        <w:rPr>
          <w:rFonts w:ascii="Times New Roman" w:hAnsi="Times New Roman" w:cs="Times New Roman"/>
          <w:b/>
          <w:color w:val="000000"/>
          <w:sz w:val="16"/>
          <w:szCs w:val="20"/>
        </w:rPr>
        <w:t>1</w:t>
      </w:r>
      <w:r w:rsidRPr="004344E2">
        <w:rPr>
          <w:rFonts w:ascii="Times New Roman" w:hAnsi="Times New Roman" w:cs="Times New Roman"/>
          <w:b/>
          <w:color w:val="000000"/>
          <w:sz w:val="16"/>
          <w:szCs w:val="20"/>
        </w:rPr>
        <w:t xml:space="preserve"> – Рейтинг активности исполнения ФЗ № 261 в разрезе федеральных </w:t>
      </w:r>
    </w:p>
    <w:p w:rsidR="004344E2" w:rsidRPr="002E55F2" w:rsidRDefault="004344E2" w:rsidP="00322B0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344E2">
        <w:rPr>
          <w:rFonts w:ascii="Times New Roman" w:hAnsi="Times New Roman" w:cs="Times New Roman"/>
          <w:b/>
          <w:color w:val="000000"/>
          <w:sz w:val="16"/>
          <w:szCs w:val="20"/>
        </w:rPr>
        <w:t>округов (по состоянию на 15.03.2012)</w:t>
      </w:r>
      <w:r w:rsidR="00F14634">
        <w:rPr>
          <w:rFonts w:ascii="Times New Roman" w:hAnsi="Times New Roman" w:cs="Times New Roman"/>
          <w:b/>
          <w:color w:val="000000"/>
          <w:sz w:val="16"/>
          <w:szCs w:val="20"/>
        </w:rPr>
        <w:t>, %</w:t>
      </w:r>
      <w:r w:rsidR="002E55F2">
        <w:rPr>
          <w:rFonts w:ascii="Times New Roman" w:hAnsi="Times New Roman" w:cs="Times New Roman"/>
          <w:b/>
          <w:color w:val="000000"/>
          <w:sz w:val="16"/>
          <w:szCs w:val="20"/>
        </w:rPr>
        <w:t xml:space="preserve"> </w:t>
      </w:r>
      <w:r w:rsidR="002E55F2" w:rsidRPr="002E55F2">
        <w:rPr>
          <w:rFonts w:ascii="Times New Roman" w:hAnsi="Times New Roman" w:cs="Times New Roman"/>
          <w:b/>
          <w:color w:val="000000"/>
          <w:sz w:val="16"/>
          <w:szCs w:val="20"/>
        </w:rPr>
        <w:t>[1]</w:t>
      </w:r>
    </w:p>
    <w:p w:rsidR="004344E2" w:rsidRDefault="004344E2" w:rsidP="00322B0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4E2">
        <w:rPr>
          <w:rFonts w:ascii="Times New Roman" w:hAnsi="Times New Roman" w:cs="Times New Roman"/>
          <w:color w:val="000000"/>
          <w:sz w:val="20"/>
          <w:szCs w:val="20"/>
        </w:rPr>
        <w:t>Если подробнее рассмотреть активность регионов в исполнении ФЗ</w:t>
      </w:r>
      <w:r w:rsidR="00322B07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344E2">
        <w:rPr>
          <w:rFonts w:ascii="Times New Roman" w:hAnsi="Times New Roman" w:cs="Times New Roman"/>
          <w:color w:val="000000"/>
          <w:sz w:val="20"/>
          <w:szCs w:val="20"/>
        </w:rPr>
        <w:t>№ 261, то можно отметить, что ситуация в региональной правовой сфере сле</w:t>
      </w:r>
      <w:r w:rsidR="00322B07">
        <w:rPr>
          <w:rFonts w:ascii="Times New Roman" w:hAnsi="Times New Roman" w:cs="Times New Roman"/>
          <w:color w:val="000000"/>
          <w:sz w:val="20"/>
          <w:szCs w:val="20"/>
        </w:rPr>
        <w:t>дующая: р</w:t>
      </w:r>
      <w:r w:rsidRPr="004344E2">
        <w:rPr>
          <w:rFonts w:ascii="Times New Roman" w:hAnsi="Times New Roman" w:cs="Times New Roman"/>
          <w:color w:val="000000"/>
          <w:sz w:val="20"/>
          <w:szCs w:val="20"/>
        </w:rPr>
        <w:t>егиональные законы, необходимые для обеспеч</w:t>
      </w:r>
      <w:r w:rsidRPr="004344E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4344E2">
        <w:rPr>
          <w:rFonts w:ascii="Times New Roman" w:hAnsi="Times New Roman" w:cs="Times New Roman"/>
          <w:color w:val="000000"/>
          <w:sz w:val="20"/>
          <w:szCs w:val="20"/>
        </w:rPr>
        <w:t>ния энергосбережения и повышения энергетической эффективности, приняты только в 24% субъектов РФ, в 11% разработаны проекты з</w:t>
      </w:r>
      <w:r w:rsidRPr="004344E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322B07">
        <w:rPr>
          <w:rFonts w:ascii="Times New Roman" w:hAnsi="Times New Roman" w:cs="Times New Roman"/>
          <w:color w:val="000000"/>
          <w:sz w:val="20"/>
          <w:szCs w:val="20"/>
        </w:rPr>
        <w:t>конов, в</w:t>
      </w:r>
      <w:r w:rsidRPr="004344E2">
        <w:rPr>
          <w:rFonts w:ascii="Times New Roman" w:hAnsi="Times New Roman" w:cs="Times New Roman"/>
          <w:color w:val="000000"/>
          <w:sz w:val="20"/>
          <w:szCs w:val="20"/>
        </w:rPr>
        <w:t xml:space="preserve"> 65% регионов законы только разрабатываются. По данным </w:t>
      </w:r>
      <w:r w:rsidRPr="004344E2">
        <w:rPr>
          <w:rFonts w:ascii="Times New Roman" w:hAnsi="Times New Roman" w:cs="Times New Roman"/>
          <w:color w:val="000000"/>
          <w:sz w:val="20"/>
          <w:szCs w:val="20"/>
        </w:rPr>
        <w:lastRenderedPageBreak/>
        <w:t>РЭА фактические данные о выполнении целевых показателей предо</w:t>
      </w:r>
      <w:r w:rsidRPr="004344E2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4344E2">
        <w:rPr>
          <w:rFonts w:ascii="Times New Roman" w:hAnsi="Times New Roman" w:cs="Times New Roman"/>
          <w:color w:val="000000"/>
          <w:sz w:val="20"/>
          <w:szCs w:val="20"/>
        </w:rPr>
        <w:t>тавляют только 69,87% от общего числа субъектов РФ.</w:t>
      </w:r>
    </w:p>
    <w:p w:rsidR="00322B07" w:rsidRDefault="00322B07" w:rsidP="00322B0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2B07">
        <w:rPr>
          <w:rFonts w:ascii="Times New Roman" w:hAnsi="Times New Roman" w:cs="Times New Roman"/>
          <w:color w:val="000000"/>
          <w:sz w:val="20"/>
          <w:szCs w:val="20"/>
        </w:rPr>
        <w:t>Также нужно отметить и проведение энергетических обследований: среди бюджетных учреждений на региональном уровне обследовано 23%, а на муниципальном уровне – 11%</w:t>
      </w:r>
      <w:r w:rsidR="002E55F2" w:rsidRPr="002E55F2">
        <w:rPr>
          <w:rFonts w:ascii="Times New Roman" w:hAnsi="Times New Roman" w:cs="Times New Roman"/>
          <w:color w:val="000000"/>
          <w:sz w:val="20"/>
          <w:szCs w:val="20"/>
        </w:rPr>
        <w:t xml:space="preserve"> [1]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. Что касается в целом о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ганизаций, указанных в ст. 16 261-ФЗ, то первое энергетическое о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следование должно было быть ими организовано до 31 декабря 2012</w:t>
      </w:r>
      <w:r w:rsidR="00492990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года</w:t>
      </w:r>
      <w:r w:rsidR="002E55F2" w:rsidRPr="002E55F2">
        <w:rPr>
          <w:rFonts w:ascii="Times New Roman" w:hAnsi="Times New Roman" w:cs="Times New Roman"/>
          <w:color w:val="000000"/>
          <w:sz w:val="20"/>
          <w:szCs w:val="20"/>
        </w:rPr>
        <w:t xml:space="preserve"> [2]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 xml:space="preserve">. Однако, из 38 тыс. </w:t>
      </w:r>
      <w:proofErr w:type="spellStart"/>
      <w:r w:rsidRPr="00322B07">
        <w:rPr>
          <w:rFonts w:ascii="Times New Roman" w:hAnsi="Times New Roman" w:cs="Times New Roman"/>
          <w:color w:val="000000"/>
          <w:sz w:val="20"/>
          <w:szCs w:val="20"/>
        </w:rPr>
        <w:t>энергопаспортов</w:t>
      </w:r>
      <w:proofErr w:type="spellEnd"/>
      <w:r w:rsidRPr="00322B07">
        <w:rPr>
          <w:rFonts w:ascii="Times New Roman" w:hAnsi="Times New Roman" w:cs="Times New Roman"/>
          <w:color w:val="000000"/>
          <w:sz w:val="20"/>
          <w:szCs w:val="20"/>
        </w:rPr>
        <w:t>, поступивших на прове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 xml:space="preserve">ку в Минэнерго России в 2012 г., утверждено менее 2 тыс. (по разным оценкам, </w:t>
      </w:r>
      <w:proofErr w:type="spellStart"/>
      <w:r w:rsidRPr="00322B07">
        <w:rPr>
          <w:rFonts w:ascii="Times New Roman" w:hAnsi="Times New Roman" w:cs="Times New Roman"/>
          <w:color w:val="000000"/>
          <w:sz w:val="20"/>
          <w:szCs w:val="20"/>
        </w:rPr>
        <w:t>энергоаудит</w:t>
      </w:r>
      <w:proofErr w:type="spellEnd"/>
      <w:r w:rsidRPr="00322B07">
        <w:rPr>
          <w:rFonts w:ascii="Times New Roman" w:hAnsi="Times New Roman" w:cs="Times New Roman"/>
          <w:color w:val="000000"/>
          <w:sz w:val="20"/>
          <w:szCs w:val="20"/>
        </w:rPr>
        <w:t xml:space="preserve"> должны пройти от 200 до 400 тыс. об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ъ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ектов)</w:t>
      </w:r>
      <w:r w:rsidR="002E55F2" w:rsidRPr="002E55F2">
        <w:rPr>
          <w:rFonts w:ascii="Times New Roman" w:hAnsi="Times New Roman" w:cs="Times New Roman"/>
          <w:color w:val="000000"/>
          <w:sz w:val="20"/>
          <w:szCs w:val="20"/>
        </w:rPr>
        <w:t xml:space="preserve"> [3]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. Таким образом, можно сделать вывод: исполнение 261-ФЗ и в целом задача повышения энергоэффективности российской экон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 xml:space="preserve">мики решается </w:t>
      </w:r>
      <w:r w:rsidR="00607E7A">
        <w:rPr>
          <w:rFonts w:ascii="Times New Roman" w:hAnsi="Times New Roman" w:cs="Times New Roman"/>
          <w:color w:val="000000"/>
          <w:sz w:val="20"/>
          <w:szCs w:val="20"/>
        </w:rPr>
        <w:t xml:space="preserve">не 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достаточно активно. С учетом задачи снижения энергоемк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сти ВВП России на 40% к 2020 г., поставленной Указом Президента РФ от 4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июня 2008 г. № 889, которая при текущих услов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ях по прогн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 xml:space="preserve">зам Минэнерго России не будет выполнена (рис.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2E55F2" w:rsidRPr="002E55F2">
        <w:rPr>
          <w:rFonts w:ascii="Times New Roman" w:hAnsi="Times New Roman" w:cs="Times New Roman"/>
          <w:color w:val="000000"/>
          <w:sz w:val="20"/>
          <w:szCs w:val="20"/>
        </w:rPr>
        <w:t xml:space="preserve"> [4]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, возникает в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прос: действительно ли России необходимо повышать энергоэффе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тивность экономики?</w:t>
      </w:r>
    </w:p>
    <w:p w:rsidR="00322B07" w:rsidRDefault="00322B07" w:rsidP="00322B07">
      <w:pPr>
        <w:autoSpaceDE w:val="0"/>
        <w:autoSpaceDN w:val="0"/>
        <w:adjustRightInd w:val="0"/>
        <w:spacing w:before="120" w:after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1210" cy="1981533"/>
            <wp:effectExtent l="19050" t="19050" r="23840" b="18717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093" t="16455" r="45163" b="8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847" cy="19820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07" w:rsidRPr="002E55F2" w:rsidRDefault="00322B07" w:rsidP="00322B0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16"/>
          <w:szCs w:val="20"/>
        </w:rPr>
      </w:pPr>
      <w:r w:rsidRPr="00322B07">
        <w:rPr>
          <w:rFonts w:ascii="Times New Roman" w:hAnsi="Times New Roman" w:cs="Times New Roman"/>
          <w:b/>
          <w:color w:val="000000"/>
          <w:sz w:val="16"/>
          <w:szCs w:val="20"/>
        </w:rPr>
        <w:t xml:space="preserve">Рисунок </w:t>
      </w:r>
      <w:r w:rsidR="00EC75F7">
        <w:rPr>
          <w:rFonts w:ascii="Times New Roman" w:hAnsi="Times New Roman" w:cs="Times New Roman"/>
          <w:b/>
          <w:color w:val="000000"/>
          <w:sz w:val="16"/>
          <w:szCs w:val="20"/>
        </w:rPr>
        <w:t>2</w:t>
      </w:r>
      <w:r w:rsidRPr="00322B07">
        <w:rPr>
          <w:rFonts w:ascii="Times New Roman" w:hAnsi="Times New Roman" w:cs="Times New Roman"/>
          <w:b/>
          <w:color w:val="000000"/>
          <w:sz w:val="16"/>
          <w:szCs w:val="20"/>
        </w:rPr>
        <w:t xml:space="preserve"> – Энергоемкость ВВП России по оценке Минэнерго, </w:t>
      </w:r>
      <w:proofErr w:type="spellStart"/>
      <w:r w:rsidRPr="00322B07">
        <w:rPr>
          <w:rFonts w:ascii="Times New Roman" w:hAnsi="Times New Roman" w:cs="Times New Roman"/>
          <w:b/>
          <w:color w:val="000000"/>
          <w:sz w:val="16"/>
          <w:szCs w:val="20"/>
        </w:rPr>
        <w:t>т.у.т</w:t>
      </w:r>
      <w:proofErr w:type="spellEnd"/>
      <w:r w:rsidRPr="00322B07">
        <w:rPr>
          <w:rFonts w:ascii="Times New Roman" w:hAnsi="Times New Roman" w:cs="Times New Roman"/>
          <w:b/>
          <w:color w:val="000000"/>
          <w:sz w:val="16"/>
          <w:szCs w:val="20"/>
        </w:rPr>
        <w:t>./1000$</w:t>
      </w:r>
      <w:r w:rsidR="002E55F2" w:rsidRPr="002E55F2">
        <w:rPr>
          <w:rFonts w:ascii="Times New Roman" w:hAnsi="Times New Roman" w:cs="Times New Roman"/>
          <w:b/>
          <w:color w:val="000000"/>
          <w:sz w:val="16"/>
          <w:szCs w:val="20"/>
        </w:rPr>
        <w:t xml:space="preserve"> [4]</w:t>
      </w:r>
    </w:p>
    <w:p w:rsidR="00322B07" w:rsidRPr="00322B07" w:rsidRDefault="00322B07" w:rsidP="00322B0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2B07">
        <w:rPr>
          <w:rFonts w:ascii="Times New Roman" w:hAnsi="Times New Roman" w:cs="Times New Roman"/>
          <w:color w:val="000000"/>
          <w:sz w:val="20"/>
          <w:szCs w:val="20"/>
        </w:rPr>
        <w:t xml:space="preserve">Для первичного сравнения </w:t>
      </w:r>
      <w:r>
        <w:rPr>
          <w:rFonts w:ascii="Times New Roman" w:hAnsi="Times New Roman" w:cs="Times New Roman"/>
          <w:color w:val="000000"/>
          <w:sz w:val="20"/>
          <w:szCs w:val="20"/>
        </w:rPr>
        <w:t>энергоэффективности российской эк</w:t>
      </w: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номики с экономиками других стран 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было выбран</w:t>
      </w: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 xml:space="preserve"> десять стран с ма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 xml:space="preserve">симальным потреблением первичной энергии в мире по данным BP Statistical </w:t>
      </w:r>
      <w:proofErr w:type="spellStart"/>
      <w:r w:rsidRPr="00322B07">
        <w:rPr>
          <w:rFonts w:ascii="Times New Roman" w:hAnsi="Times New Roman" w:cs="Times New Roman"/>
          <w:color w:val="000000"/>
          <w:sz w:val="20"/>
          <w:szCs w:val="20"/>
        </w:rPr>
        <w:t>Review</w:t>
      </w:r>
      <w:proofErr w:type="spellEnd"/>
      <w:r w:rsidRPr="00322B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2B07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2B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2B07">
        <w:rPr>
          <w:rFonts w:ascii="Times New Roman" w:hAnsi="Times New Roman" w:cs="Times New Roman"/>
          <w:color w:val="000000"/>
          <w:sz w:val="20"/>
          <w:szCs w:val="20"/>
        </w:rPr>
        <w:t>World</w:t>
      </w:r>
      <w:proofErr w:type="spellEnd"/>
      <w:r w:rsidRPr="00322B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2B07">
        <w:rPr>
          <w:rFonts w:ascii="Times New Roman" w:hAnsi="Times New Roman" w:cs="Times New Roman"/>
          <w:color w:val="000000"/>
          <w:sz w:val="20"/>
          <w:szCs w:val="20"/>
        </w:rPr>
        <w:t>Energy</w:t>
      </w:r>
      <w:proofErr w:type="spellEnd"/>
      <w:r w:rsidRPr="00322B0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322B07">
        <w:rPr>
          <w:rFonts w:ascii="Times New Roman" w:hAnsi="Times New Roman" w:cs="Times New Roman"/>
          <w:color w:val="000000"/>
          <w:sz w:val="20"/>
          <w:szCs w:val="20"/>
        </w:rPr>
        <w:t>June</w:t>
      </w:r>
      <w:proofErr w:type="spellEnd"/>
      <w:r w:rsidRPr="00322B07">
        <w:rPr>
          <w:rFonts w:ascii="Times New Roman" w:hAnsi="Times New Roman" w:cs="Times New Roman"/>
          <w:color w:val="000000"/>
          <w:sz w:val="20"/>
          <w:szCs w:val="20"/>
        </w:rPr>
        <w:t xml:space="preserve">, 2013). Расчет энергоемкости ВВП выбранных стран проводился с использованием данных ВВП по ППС МВФ (Международного валютного фонда) в текущих ценах и объемов потребления первичной энергии из статистических данных 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BP. Полученные данные (рис. 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) позволяют сделать следующие выв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22B07">
        <w:rPr>
          <w:rFonts w:ascii="Times New Roman" w:hAnsi="Times New Roman" w:cs="Times New Roman"/>
          <w:color w:val="000000"/>
          <w:sz w:val="20"/>
          <w:szCs w:val="20"/>
        </w:rPr>
        <w:t>ды:</w:t>
      </w:r>
    </w:p>
    <w:p w:rsidR="00322B07" w:rsidRPr="00322B07" w:rsidRDefault="00322B07" w:rsidP="00322B07">
      <w:pPr>
        <w:pStyle w:val="a5"/>
        <w:numPr>
          <w:ilvl w:val="0"/>
          <w:numId w:val="2"/>
        </w:numPr>
        <w:ind w:left="567" w:hanging="283"/>
        <w:jc w:val="both"/>
        <w:rPr>
          <w:color w:val="000000"/>
          <w:sz w:val="20"/>
          <w:szCs w:val="20"/>
        </w:rPr>
      </w:pPr>
      <w:r w:rsidRPr="00322B07">
        <w:rPr>
          <w:color w:val="000000"/>
          <w:sz w:val="20"/>
          <w:szCs w:val="20"/>
        </w:rPr>
        <w:t>Россия среди стран с максимальным потреблением первичных энергоресурсов обладает самой энергоемкой экономикой;</w:t>
      </w:r>
    </w:p>
    <w:p w:rsidR="00322B07" w:rsidRPr="00322B07" w:rsidRDefault="00322B07" w:rsidP="00322B07">
      <w:pPr>
        <w:pStyle w:val="a5"/>
        <w:numPr>
          <w:ilvl w:val="0"/>
          <w:numId w:val="2"/>
        </w:numPr>
        <w:ind w:left="567" w:hanging="283"/>
        <w:jc w:val="both"/>
        <w:rPr>
          <w:color w:val="000000"/>
          <w:sz w:val="20"/>
          <w:szCs w:val="20"/>
        </w:rPr>
      </w:pPr>
      <w:r w:rsidRPr="00322B07">
        <w:rPr>
          <w:color w:val="000000"/>
          <w:sz w:val="20"/>
          <w:szCs w:val="20"/>
        </w:rPr>
        <w:t>в выборку попали самые разнообразные страны, отличающиеся и по климату, и по размерам территории, и по структуре экон</w:t>
      </w:r>
      <w:r w:rsidRPr="00322B07">
        <w:rPr>
          <w:color w:val="000000"/>
          <w:sz w:val="20"/>
          <w:szCs w:val="20"/>
        </w:rPr>
        <w:t>о</w:t>
      </w:r>
      <w:r w:rsidRPr="00322B07">
        <w:rPr>
          <w:color w:val="000000"/>
          <w:sz w:val="20"/>
          <w:szCs w:val="20"/>
        </w:rPr>
        <w:t>мики, и по уровню дохода на душу населения;</w:t>
      </w:r>
    </w:p>
    <w:p w:rsidR="00322B07" w:rsidRDefault="00322B07" w:rsidP="00322B07">
      <w:pPr>
        <w:pStyle w:val="a5"/>
        <w:numPr>
          <w:ilvl w:val="0"/>
          <w:numId w:val="2"/>
        </w:numPr>
        <w:ind w:left="567" w:hanging="283"/>
        <w:jc w:val="both"/>
        <w:rPr>
          <w:color w:val="000000"/>
          <w:sz w:val="20"/>
          <w:szCs w:val="20"/>
        </w:rPr>
      </w:pPr>
      <w:r w:rsidRPr="00322B07">
        <w:rPr>
          <w:color w:val="000000"/>
          <w:sz w:val="20"/>
          <w:szCs w:val="20"/>
        </w:rPr>
        <w:t>в целом тенденция такова, что большинство стран с максимал</w:t>
      </w:r>
      <w:r w:rsidRPr="00322B07">
        <w:rPr>
          <w:color w:val="000000"/>
          <w:sz w:val="20"/>
          <w:szCs w:val="20"/>
        </w:rPr>
        <w:t>ь</w:t>
      </w:r>
      <w:r w:rsidRPr="00322B07">
        <w:rPr>
          <w:color w:val="000000"/>
          <w:sz w:val="20"/>
          <w:szCs w:val="20"/>
        </w:rPr>
        <w:t>ным энергопотреблением (6 из 10) характеризуются показат</w:t>
      </w:r>
      <w:r w:rsidRPr="00322B07">
        <w:rPr>
          <w:color w:val="000000"/>
          <w:sz w:val="20"/>
          <w:szCs w:val="20"/>
        </w:rPr>
        <w:t>е</w:t>
      </w:r>
      <w:r w:rsidRPr="00322B07">
        <w:rPr>
          <w:color w:val="000000"/>
          <w:sz w:val="20"/>
          <w:szCs w:val="20"/>
        </w:rPr>
        <w:t>лем энергоемкости в 2012 году ниже среднемирового (в мире в 2012 году энергоемкость ВВП по ППС в среднем составила 0,15</w:t>
      </w:r>
      <w:r w:rsidR="00492990">
        <w:rPr>
          <w:color w:val="000000"/>
          <w:sz w:val="20"/>
          <w:szCs w:val="20"/>
        </w:rPr>
        <w:t> </w:t>
      </w:r>
      <w:r w:rsidRPr="00322B07">
        <w:rPr>
          <w:color w:val="000000"/>
          <w:sz w:val="20"/>
          <w:szCs w:val="20"/>
        </w:rPr>
        <w:t>т.н.э./тыс. $</w:t>
      </w:r>
      <w:r w:rsidR="0060632E">
        <w:rPr>
          <w:color w:val="000000"/>
          <w:sz w:val="20"/>
          <w:szCs w:val="20"/>
        </w:rPr>
        <w:t xml:space="preserve"> – по статистике </w:t>
      </w:r>
      <w:r w:rsidR="0060632E">
        <w:rPr>
          <w:color w:val="000000"/>
          <w:sz w:val="20"/>
          <w:szCs w:val="20"/>
          <w:lang w:val="en-US"/>
        </w:rPr>
        <w:t>BP</w:t>
      </w:r>
      <w:r w:rsidR="0060632E" w:rsidRPr="00492990">
        <w:rPr>
          <w:color w:val="000000"/>
          <w:sz w:val="20"/>
          <w:szCs w:val="20"/>
        </w:rPr>
        <w:t xml:space="preserve"> </w:t>
      </w:r>
      <w:r w:rsidR="0060632E">
        <w:rPr>
          <w:color w:val="000000"/>
          <w:sz w:val="20"/>
          <w:szCs w:val="20"/>
        </w:rPr>
        <w:t>и МВФ</w:t>
      </w:r>
      <w:r w:rsidRPr="00322B07">
        <w:rPr>
          <w:color w:val="000000"/>
          <w:sz w:val="20"/>
          <w:szCs w:val="20"/>
        </w:rPr>
        <w:t>).</w:t>
      </w:r>
    </w:p>
    <w:p w:rsidR="00322B07" w:rsidRDefault="00492990" w:rsidP="0060632E">
      <w:pPr>
        <w:spacing w:before="120" w:after="0"/>
        <w:jc w:val="center"/>
        <w:rPr>
          <w:color w:val="000000"/>
          <w:sz w:val="20"/>
          <w:szCs w:val="20"/>
        </w:rPr>
      </w:pPr>
      <w:r w:rsidRPr="00492990">
        <w:rPr>
          <w:color w:val="000000"/>
          <w:sz w:val="20"/>
          <w:szCs w:val="20"/>
        </w:rPr>
        <w:drawing>
          <wp:inline distT="0" distB="0" distL="0" distR="0">
            <wp:extent cx="3876471" cy="3584448"/>
            <wp:effectExtent l="19050" t="0" r="972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632E" w:rsidRPr="002E55F2" w:rsidRDefault="0060632E" w:rsidP="0060632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16"/>
          <w:szCs w:val="20"/>
        </w:rPr>
      </w:pPr>
      <w:r w:rsidRPr="0060632E">
        <w:rPr>
          <w:rFonts w:ascii="Times New Roman" w:hAnsi="Times New Roman" w:cs="Times New Roman"/>
          <w:b/>
          <w:color w:val="000000"/>
          <w:sz w:val="16"/>
          <w:szCs w:val="20"/>
        </w:rPr>
        <w:t xml:space="preserve">Рисунок </w:t>
      </w:r>
      <w:r w:rsidR="00EC75F7">
        <w:rPr>
          <w:rFonts w:ascii="Times New Roman" w:hAnsi="Times New Roman" w:cs="Times New Roman"/>
          <w:b/>
          <w:color w:val="000000"/>
          <w:sz w:val="16"/>
          <w:szCs w:val="20"/>
        </w:rPr>
        <w:t>3</w:t>
      </w:r>
      <w:r w:rsidRPr="0060632E">
        <w:rPr>
          <w:rFonts w:ascii="Times New Roman" w:hAnsi="Times New Roman" w:cs="Times New Roman"/>
          <w:b/>
          <w:color w:val="000000"/>
          <w:sz w:val="16"/>
          <w:szCs w:val="20"/>
        </w:rPr>
        <w:t xml:space="preserve"> – Энергоемкость ВВП по ППС стран мира, обладающих наибольшим потреблением первичной энергии (текущие цены)</w:t>
      </w:r>
      <w:r w:rsidR="002E55F2" w:rsidRPr="002E55F2">
        <w:rPr>
          <w:rFonts w:ascii="Times New Roman" w:hAnsi="Times New Roman" w:cs="Times New Roman"/>
          <w:b/>
          <w:color w:val="000000"/>
          <w:sz w:val="16"/>
          <w:szCs w:val="20"/>
        </w:rPr>
        <w:t xml:space="preserve"> [5, 6]</w:t>
      </w:r>
    </w:p>
    <w:p w:rsidR="0060632E" w:rsidRDefault="0060632E" w:rsidP="0060632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2E">
        <w:rPr>
          <w:rFonts w:ascii="Times New Roman" w:hAnsi="Times New Roman" w:cs="Times New Roman"/>
          <w:color w:val="000000"/>
          <w:sz w:val="20"/>
          <w:szCs w:val="20"/>
        </w:rPr>
        <w:t>Таким образом, российская экономика действительно обладает зн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411E3A">
        <w:rPr>
          <w:rFonts w:ascii="Times New Roman" w:hAnsi="Times New Roman" w:cs="Times New Roman"/>
          <w:color w:val="000000"/>
          <w:sz w:val="20"/>
          <w:szCs w:val="20"/>
        </w:rPr>
        <w:t xml:space="preserve">чительной энергоемкостью. При этом нужно отметить, что снижение </w:t>
      </w:r>
      <w:r w:rsidR="00411E3A">
        <w:rPr>
          <w:rFonts w:ascii="Times New Roman" w:hAnsi="Times New Roman" w:cs="Times New Roman"/>
          <w:color w:val="000000"/>
          <w:sz w:val="20"/>
          <w:szCs w:val="20"/>
        </w:rPr>
        <w:lastRenderedPageBreak/>
        <w:t>энергоемкости большинства рассмотренных стран сопровождается ростом потребляемых первичных энергоресурсов. Среди таких стран можно назвать Китай, Индию, Японию, Канаду, Бразилию, Корею и Францию.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1E3A">
        <w:rPr>
          <w:rFonts w:ascii="Times New Roman" w:hAnsi="Times New Roman" w:cs="Times New Roman"/>
          <w:color w:val="000000"/>
          <w:sz w:val="20"/>
          <w:szCs w:val="20"/>
        </w:rPr>
        <w:t>Такое снижение энергоемкости характеризует рост именно энергоэффективности экономики страны – снижение показател</w:t>
      </w:r>
      <w:r w:rsidR="00492990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="00411E3A">
        <w:rPr>
          <w:rFonts w:ascii="Times New Roman" w:hAnsi="Times New Roman" w:cs="Times New Roman"/>
          <w:color w:val="000000"/>
          <w:sz w:val="20"/>
          <w:szCs w:val="20"/>
        </w:rPr>
        <w:t xml:space="preserve"> эне</w:t>
      </w:r>
      <w:r w:rsidR="00411E3A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411E3A">
        <w:rPr>
          <w:rFonts w:ascii="Times New Roman" w:hAnsi="Times New Roman" w:cs="Times New Roman"/>
          <w:color w:val="000000"/>
          <w:sz w:val="20"/>
          <w:szCs w:val="20"/>
        </w:rPr>
        <w:t>гоемкости не за счет снижения потребления энергоресурсов, а за счет повышения результативности их использования – за счет роста ВВП. Это обстоятельство приводит к необходимости пересмотреть саму п</w:t>
      </w:r>
      <w:r w:rsidR="00411E3A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411E3A">
        <w:rPr>
          <w:rFonts w:ascii="Times New Roman" w:hAnsi="Times New Roman" w:cs="Times New Roman"/>
          <w:color w:val="000000"/>
          <w:sz w:val="20"/>
          <w:szCs w:val="20"/>
        </w:rPr>
        <w:t>становку задачи повышения энергоэффективности в России, которая преимущественно основана на экономии первичной энергии.</w:t>
      </w:r>
      <w:r w:rsidR="00EC75F7">
        <w:rPr>
          <w:rFonts w:ascii="Times New Roman" w:hAnsi="Times New Roman" w:cs="Times New Roman"/>
          <w:color w:val="000000"/>
          <w:sz w:val="20"/>
          <w:szCs w:val="20"/>
        </w:rPr>
        <w:t xml:space="preserve"> Эта с</w:t>
      </w:r>
      <w:r w:rsidR="00EC75F7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EC75F7">
        <w:rPr>
          <w:rFonts w:ascii="Times New Roman" w:hAnsi="Times New Roman" w:cs="Times New Roman"/>
          <w:color w:val="000000"/>
          <w:sz w:val="20"/>
          <w:szCs w:val="20"/>
        </w:rPr>
        <w:t>туация становится более чем наглядной при анализе изменения эне</w:t>
      </w:r>
      <w:r w:rsidR="00EC75F7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EC75F7">
        <w:rPr>
          <w:rFonts w:ascii="Times New Roman" w:hAnsi="Times New Roman" w:cs="Times New Roman"/>
          <w:color w:val="000000"/>
          <w:sz w:val="20"/>
          <w:szCs w:val="20"/>
        </w:rPr>
        <w:t>гоемкости РФ (рис. 3), которой сопутствует снижение потребления первичных энергоресурсов, а не опережающий рост ВВП. Также ну</w:t>
      </w:r>
      <w:r w:rsidR="00EC75F7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EC75F7">
        <w:rPr>
          <w:rFonts w:ascii="Times New Roman" w:hAnsi="Times New Roman" w:cs="Times New Roman"/>
          <w:color w:val="000000"/>
          <w:sz w:val="20"/>
          <w:szCs w:val="20"/>
        </w:rPr>
        <w:t>но особо отметить, что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75F7">
        <w:rPr>
          <w:rFonts w:ascii="Times New Roman" w:hAnsi="Times New Roman" w:cs="Times New Roman"/>
          <w:color w:val="000000"/>
          <w:sz w:val="20"/>
          <w:szCs w:val="20"/>
        </w:rPr>
        <w:t xml:space="preserve">относительно 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 xml:space="preserve">энергоэффективными странами </w:t>
      </w:r>
      <w:r w:rsidR="00EC75F7">
        <w:rPr>
          <w:rFonts w:ascii="Times New Roman" w:hAnsi="Times New Roman" w:cs="Times New Roman"/>
          <w:color w:val="000000"/>
          <w:sz w:val="20"/>
          <w:szCs w:val="20"/>
        </w:rPr>
        <w:t xml:space="preserve">(энергоемкость ниже среднемирового уровня) 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>являются страны, имеющие совершенно разные характеристики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(США, Индия, Япония, Германия, Бразилия, Франция)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>. Факторами, влияющими на энергоэ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>ф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>фективность, обычно называют климатические условия, размеры те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>ритории, структуру экономики, уровень ВВП на душу населения. С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>ответственно, представляет особый интерес сравнение России и др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>гих стран со схожими характеристиками, влияющими на энергое</w:t>
      </w:r>
      <w:r w:rsidRPr="0060632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EC75F7">
        <w:rPr>
          <w:rFonts w:ascii="Times New Roman" w:hAnsi="Times New Roman" w:cs="Times New Roman"/>
          <w:color w:val="000000"/>
          <w:sz w:val="20"/>
          <w:szCs w:val="20"/>
        </w:rPr>
        <w:t>кость, для того, чтобы сделать окончательные выводы.</w:t>
      </w:r>
    </w:p>
    <w:p w:rsidR="0060632E" w:rsidRDefault="0060632E" w:rsidP="0060632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632E" w:rsidRDefault="0060632E" w:rsidP="006063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20"/>
        </w:rPr>
      </w:pPr>
      <w:r w:rsidRPr="0060632E">
        <w:rPr>
          <w:rFonts w:ascii="Times New Roman" w:hAnsi="Times New Roman" w:cs="Times New Roman"/>
          <w:b/>
          <w:color w:val="000000"/>
          <w:sz w:val="16"/>
          <w:szCs w:val="20"/>
        </w:rPr>
        <w:t>Библиографический список</w:t>
      </w:r>
    </w:p>
    <w:p w:rsidR="0060632E" w:rsidRDefault="0060632E" w:rsidP="006063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20"/>
        </w:rPr>
      </w:pPr>
    </w:p>
    <w:p w:rsidR="0060632E" w:rsidRDefault="002E55F2" w:rsidP="00240F4F">
      <w:pPr>
        <w:pStyle w:val="a5"/>
        <w:numPr>
          <w:ilvl w:val="0"/>
          <w:numId w:val="3"/>
        </w:numPr>
        <w:ind w:left="567" w:hanging="283"/>
        <w:jc w:val="both"/>
        <w:rPr>
          <w:color w:val="000000"/>
          <w:sz w:val="16"/>
          <w:szCs w:val="20"/>
        </w:rPr>
      </w:pPr>
      <w:r w:rsidRPr="00E72A0A">
        <w:rPr>
          <w:color w:val="000000"/>
          <w:sz w:val="16"/>
          <w:szCs w:val="20"/>
        </w:rPr>
        <w:t xml:space="preserve">Справка об исполнении ФЗ 261 в разрезе ФО и субъектов РФ по итогам </w:t>
      </w:r>
      <w:r w:rsidRPr="00E72A0A">
        <w:rPr>
          <w:color w:val="000000"/>
          <w:sz w:val="16"/>
          <w:szCs w:val="20"/>
          <w:lang w:val="en-US"/>
        </w:rPr>
        <w:t>I</w:t>
      </w:r>
      <w:r w:rsidRPr="00E72A0A">
        <w:rPr>
          <w:color w:val="000000"/>
          <w:sz w:val="16"/>
          <w:szCs w:val="20"/>
        </w:rPr>
        <w:t xml:space="preserve"> ква</w:t>
      </w:r>
      <w:r w:rsidRPr="00E72A0A">
        <w:rPr>
          <w:color w:val="000000"/>
          <w:sz w:val="16"/>
          <w:szCs w:val="20"/>
        </w:rPr>
        <w:t>р</w:t>
      </w:r>
      <w:r w:rsidRPr="00E72A0A">
        <w:rPr>
          <w:color w:val="000000"/>
          <w:sz w:val="16"/>
          <w:szCs w:val="20"/>
        </w:rPr>
        <w:t>тала 2012 г.</w:t>
      </w:r>
      <w:r w:rsidR="00E72A0A" w:rsidRPr="00E72A0A">
        <w:rPr>
          <w:color w:val="000000"/>
          <w:sz w:val="16"/>
          <w:szCs w:val="20"/>
        </w:rPr>
        <w:t xml:space="preserve"> [Электронный ресурс]. – Режим доступа:</w:t>
      </w:r>
      <w:r w:rsidR="00E72A0A">
        <w:rPr>
          <w:color w:val="000000"/>
          <w:sz w:val="16"/>
          <w:szCs w:val="20"/>
        </w:rPr>
        <w:t xml:space="preserve"> </w:t>
      </w:r>
      <w:hyperlink r:id="rId8" w:history="1">
        <w:r w:rsidR="00E72A0A" w:rsidRPr="0075393B">
          <w:rPr>
            <w:rStyle w:val="a6"/>
            <w:sz w:val="16"/>
            <w:szCs w:val="20"/>
          </w:rPr>
          <w:t>http://rosenergo.gov.ru/activity/analitics/energyefficiency/</w:t>
        </w:r>
      </w:hyperlink>
    </w:p>
    <w:p w:rsidR="00E72A0A" w:rsidRDefault="00E72A0A" w:rsidP="00240F4F">
      <w:pPr>
        <w:pStyle w:val="a5"/>
        <w:numPr>
          <w:ilvl w:val="0"/>
          <w:numId w:val="3"/>
        </w:numPr>
        <w:ind w:left="567" w:hanging="283"/>
        <w:jc w:val="both"/>
        <w:rPr>
          <w:color w:val="000000"/>
          <w:sz w:val="16"/>
          <w:szCs w:val="20"/>
        </w:rPr>
      </w:pPr>
      <w:r w:rsidRPr="00E72A0A">
        <w:rPr>
          <w:color w:val="000000"/>
          <w:sz w:val="16"/>
          <w:szCs w:val="20"/>
        </w:rPr>
        <w:t>Федеральный закон РФ «Об энергосбережении и о повышении энергетической эффективности и о внесении изменений в отдельные законодательные акты РФ» от 23 ноября 2009 года № 261-ФЗ</w:t>
      </w:r>
    </w:p>
    <w:p w:rsidR="00E72A0A" w:rsidRDefault="00240F4F" w:rsidP="00240F4F">
      <w:pPr>
        <w:pStyle w:val="a5"/>
        <w:numPr>
          <w:ilvl w:val="0"/>
          <w:numId w:val="3"/>
        </w:numPr>
        <w:ind w:left="567" w:hanging="283"/>
        <w:jc w:val="both"/>
        <w:rPr>
          <w:color w:val="000000"/>
          <w:sz w:val="16"/>
          <w:szCs w:val="20"/>
        </w:rPr>
      </w:pPr>
      <w:r w:rsidRPr="00240F4F">
        <w:rPr>
          <w:b/>
          <w:color w:val="000000"/>
          <w:sz w:val="16"/>
          <w:szCs w:val="20"/>
        </w:rPr>
        <w:t xml:space="preserve">Зайцев </w:t>
      </w:r>
      <w:r w:rsidR="00E72A0A" w:rsidRPr="00240F4F">
        <w:rPr>
          <w:b/>
          <w:color w:val="000000"/>
          <w:sz w:val="16"/>
          <w:szCs w:val="20"/>
        </w:rPr>
        <w:t xml:space="preserve">В.В., </w:t>
      </w:r>
      <w:r w:rsidRPr="00240F4F">
        <w:rPr>
          <w:b/>
          <w:color w:val="000000"/>
          <w:sz w:val="16"/>
          <w:szCs w:val="20"/>
        </w:rPr>
        <w:t xml:space="preserve">Сайкина </w:t>
      </w:r>
      <w:r w:rsidR="00E72A0A" w:rsidRPr="00240F4F">
        <w:rPr>
          <w:b/>
          <w:color w:val="000000"/>
          <w:sz w:val="16"/>
          <w:szCs w:val="20"/>
        </w:rPr>
        <w:t>Л.Б.</w:t>
      </w:r>
      <w:r w:rsidR="00E72A0A">
        <w:rPr>
          <w:color w:val="000000"/>
          <w:sz w:val="16"/>
          <w:szCs w:val="20"/>
        </w:rPr>
        <w:t xml:space="preserve"> Реализация политики энергосбережения в промы</w:t>
      </w:r>
      <w:r w:rsidR="00E72A0A">
        <w:rPr>
          <w:color w:val="000000"/>
          <w:sz w:val="16"/>
          <w:szCs w:val="20"/>
        </w:rPr>
        <w:t>ш</w:t>
      </w:r>
      <w:r w:rsidR="00E72A0A">
        <w:rPr>
          <w:color w:val="000000"/>
          <w:sz w:val="16"/>
          <w:szCs w:val="20"/>
        </w:rPr>
        <w:t>ленности</w:t>
      </w:r>
      <w:r>
        <w:rPr>
          <w:color w:val="000000"/>
          <w:sz w:val="16"/>
          <w:szCs w:val="20"/>
        </w:rPr>
        <w:t xml:space="preserve">. </w:t>
      </w:r>
      <w:proofErr w:type="spellStart"/>
      <w:r>
        <w:rPr>
          <w:color w:val="000000"/>
          <w:sz w:val="16"/>
          <w:szCs w:val="20"/>
        </w:rPr>
        <w:t>Энергосовет</w:t>
      </w:r>
      <w:proofErr w:type="spellEnd"/>
      <w:r>
        <w:rPr>
          <w:color w:val="000000"/>
          <w:sz w:val="16"/>
          <w:szCs w:val="20"/>
        </w:rPr>
        <w:t>. 2013. №3 (28).</w:t>
      </w:r>
    </w:p>
    <w:p w:rsidR="00240F4F" w:rsidRDefault="00240F4F" w:rsidP="00240F4F">
      <w:pPr>
        <w:pStyle w:val="a5"/>
        <w:numPr>
          <w:ilvl w:val="0"/>
          <w:numId w:val="3"/>
        </w:numPr>
        <w:ind w:left="567" w:hanging="283"/>
        <w:jc w:val="both"/>
        <w:rPr>
          <w:color w:val="000000"/>
          <w:sz w:val="16"/>
          <w:szCs w:val="20"/>
        </w:rPr>
      </w:pPr>
      <w:proofErr w:type="spellStart"/>
      <w:r w:rsidRPr="00240F4F">
        <w:rPr>
          <w:b/>
          <w:color w:val="000000"/>
          <w:sz w:val="16"/>
          <w:szCs w:val="20"/>
        </w:rPr>
        <w:t>Новак</w:t>
      </w:r>
      <w:proofErr w:type="spellEnd"/>
      <w:r w:rsidRPr="00240F4F">
        <w:rPr>
          <w:b/>
          <w:color w:val="000000"/>
          <w:sz w:val="16"/>
          <w:szCs w:val="20"/>
        </w:rPr>
        <w:t xml:space="preserve"> А.В.</w:t>
      </w:r>
      <w:r>
        <w:rPr>
          <w:color w:val="000000"/>
          <w:sz w:val="16"/>
          <w:szCs w:val="20"/>
        </w:rPr>
        <w:t xml:space="preserve"> Итоги работы ТЭК России в 2013 году. Задачи на среднесрочную перспективу. </w:t>
      </w:r>
      <w:r w:rsidRPr="00E72A0A">
        <w:rPr>
          <w:color w:val="000000"/>
          <w:sz w:val="16"/>
          <w:szCs w:val="20"/>
        </w:rPr>
        <w:t>[Электронный ресурс]. – Режим доступа:</w:t>
      </w:r>
      <w:r>
        <w:rPr>
          <w:color w:val="000000"/>
          <w:sz w:val="16"/>
          <w:szCs w:val="20"/>
        </w:rPr>
        <w:t xml:space="preserve"> </w:t>
      </w:r>
      <w:hyperlink r:id="rId9" w:history="1">
        <w:r w:rsidRPr="0075393B">
          <w:rPr>
            <w:rStyle w:val="a6"/>
            <w:sz w:val="16"/>
            <w:szCs w:val="20"/>
          </w:rPr>
          <w:t>http://minenergo.gov.ru/press/doklady/</w:t>
        </w:r>
      </w:hyperlink>
    </w:p>
    <w:p w:rsidR="00240F4F" w:rsidRPr="00240F4F" w:rsidRDefault="00240F4F" w:rsidP="00240F4F">
      <w:pPr>
        <w:pStyle w:val="a5"/>
        <w:numPr>
          <w:ilvl w:val="0"/>
          <w:numId w:val="3"/>
        </w:numPr>
        <w:ind w:left="567" w:hanging="283"/>
        <w:jc w:val="both"/>
        <w:rPr>
          <w:color w:val="000000"/>
          <w:sz w:val="16"/>
          <w:szCs w:val="20"/>
          <w:lang w:val="en-US"/>
        </w:rPr>
      </w:pPr>
      <w:r w:rsidRPr="00240F4F">
        <w:rPr>
          <w:color w:val="000000"/>
          <w:sz w:val="16"/>
          <w:szCs w:val="20"/>
          <w:lang w:val="en-US"/>
        </w:rPr>
        <w:t>BP Statistical Review of World Energy, June 2013 [</w:t>
      </w:r>
      <w:proofErr w:type="spellStart"/>
      <w:r w:rsidRPr="00240F4F">
        <w:rPr>
          <w:color w:val="000000"/>
          <w:sz w:val="16"/>
          <w:szCs w:val="20"/>
        </w:rPr>
        <w:t>Электронныйресурс</w:t>
      </w:r>
      <w:proofErr w:type="spellEnd"/>
      <w:r w:rsidRPr="00240F4F">
        <w:rPr>
          <w:color w:val="000000"/>
          <w:sz w:val="16"/>
          <w:szCs w:val="20"/>
          <w:lang w:val="en-US"/>
        </w:rPr>
        <w:t xml:space="preserve">]. – </w:t>
      </w:r>
      <w:r w:rsidRPr="00240F4F">
        <w:rPr>
          <w:color w:val="000000"/>
          <w:sz w:val="16"/>
          <w:szCs w:val="20"/>
        </w:rPr>
        <w:t>Режим</w:t>
      </w:r>
      <w:r w:rsidRPr="00240F4F">
        <w:rPr>
          <w:color w:val="000000"/>
          <w:sz w:val="16"/>
          <w:szCs w:val="20"/>
          <w:lang w:val="en-US"/>
        </w:rPr>
        <w:t xml:space="preserve"> </w:t>
      </w:r>
      <w:r w:rsidRPr="00240F4F">
        <w:rPr>
          <w:color w:val="000000"/>
          <w:sz w:val="16"/>
          <w:szCs w:val="20"/>
        </w:rPr>
        <w:t>доступа</w:t>
      </w:r>
      <w:r w:rsidRPr="00240F4F">
        <w:rPr>
          <w:color w:val="000000"/>
          <w:sz w:val="16"/>
          <w:szCs w:val="20"/>
          <w:lang w:val="en-US"/>
        </w:rPr>
        <w:t xml:space="preserve">: </w:t>
      </w:r>
      <w:hyperlink r:id="rId10" w:history="1">
        <w:r w:rsidRPr="00607E7A">
          <w:rPr>
            <w:rStyle w:val="a6"/>
            <w:sz w:val="16"/>
            <w:lang w:val="en-US"/>
          </w:rPr>
          <w:t>http://bp.com/</w:t>
        </w:r>
      </w:hyperlink>
    </w:p>
    <w:p w:rsidR="00240F4F" w:rsidRPr="00240F4F" w:rsidRDefault="00240F4F" w:rsidP="00240F4F">
      <w:pPr>
        <w:pStyle w:val="a5"/>
        <w:numPr>
          <w:ilvl w:val="0"/>
          <w:numId w:val="3"/>
        </w:numPr>
        <w:ind w:left="567" w:hanging="283"/>
        <w:jc w:val="both"/>
        <w:rPr>
          <w:color w:val="000000"/>
          <w:sz w:val="16"/>
          <w:szCs w:val="20"/>
          <w:lang w:val="en-US"/>
        </w:rPr>
      </w:pPr>
      <w:r w:rsidRPr="00240F4F">
        <w:rPr>
          <w:color w:val="000000"/>
          <w:sz w:val="16"/>
          <w:szCs w:val="20"/>
          <w:lang w:val="en-US"/>
        </w:rPr>
        <w:t>World Economic Outlook Database (IMF; April, 2013) [</w:t>
      </w:r>
      <w:proofErr w:type="spellStart"/>
      <w:r w:rsidRPr="00240F4F">
        <w:rPr>
          <w:color w:val="000000"/>
          <w:sz w:val="16"/>
          <w:szCs w:val="20"/>
        </w:rPr>
        <w:t>Электронныйресурс</w:t>
      </w:r>
      <w:proofErr w:type="spellEnd"/>
      <w:r w:rsidRPr="00240F4F">
        <w:rPr>
          <w:color w:val="000000"/>
          <w:sz w:val="16"/>
          <w:szCs w:val="20"/>
          <w:lang w:val="en-US"/>
        </w:rPr>
        <w:t xml:space="preserve">]. – </w:t>
      </w:r>
      <w:r w:rsidRPr="00240F4F">
        <w:rPr>
          <w:color w:val="000000"/>
          <w:sz w:val="16"/>
          <w:szCs w:val="20"/>
        </w:rPr>
        <w:t>Р</w:t>
      </w:r>
      <w:r w:rsidRPr="00240F4F">
        <w:rPr>
          <w:color w:val="000000"/>
          <w:sz w:val="16"/>
          <w:szCs w:val="20"/>
        </w:rPr>
        <w:t>е</w:t>
      </w:r>
      <w:r w:rsidRPr="00240F4F">
        <w:rPr>
          <w:color w:val="000000"/>
          <w:sz w:val="16"/>
          <w:szCs w:val="20"/>
        </w:rPr>
        <w:t>жим</w:t>
      </w:r>
      <w:r w:rsidRPr="00240F4F">
        <w:rPr>
          <w:color w:val="000000"/>
          <w:sz w:val="16"/>
          <w:szCs w:val="20"/>
          <w:lang w:val="en-US"/>
        </w:rPr>
        <w:t xml:space="preserve"> </w:t>
      </w:r>
      <w:r w:rsidRPr="00240F4F">
        <w:rPr>
          <w:color w:val="000000"/>
          <w:sz w:val="16"/>
          <w:szCs w:val="20"/>
        </w:rPr>
        <w:t>доступа</w:t>
      </w:r>
      <w:r w:rsidRPr="00240F4F">
        <w:rPr>
          <w:color w:val="000000"/>
          <w:sz w:val="16"/>
          <w:szCs w:val="20"/>
          <w:lang w:val="en-US"/>
        </w:rPr>
        <w:t xml:space="preserve">: </w:t>
      </w:r>
      <w:hyperlink r:id="rId11" w:history="1">
        <w:r w:rsidRPr="0075393B">
          <w:rPr>
            <w:rStyle w:val="a6"/>
            <w:sz w:val="16"/>
            <w:szCs w:val="20"/>
            <w:lang w:val="en-US"/>
          </w:rPr>
          <w:t>http://www.imf.org/external/pubs/ft/weo/2013/01/weodata/</w:t>
        </w:r>
      </w:hyperlink>
    </w:p>
    <w:p w:rsidR="00240F4F" w:rsidRPr="00240F4F" w:rsidRDefault="00240F4F" w:rsidP="00240F4F">
      <w:pPr>
        <w:jc w:val="both"/>
        <w:rPr>
          <w:rFonts w:ascii="Times New Roman" w:hAnsi="Times New Roman" w:cs="Times New Roman"/>
          <w:color w:val="000000"/>
          <w:sz w:val="16"/>
          <w:szCs w:val="20"/>
          <w:lang w:val="en-US"/>
        </w:rPr>
      </w:pPr>
    </w:p>
    <w:sectPr w:rsidR="00240F4F" w:rsidRPr="00240F4F" w:rsidSect="004344E2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AD6"/>
    <w:multiLevelType w:val="hybridMultilevel"/>
    <w:tmpl w:val="0D6403E4"/>
    <w:lvl w:ilvl="0" w:tplc="B1E2A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0452"/>
    <w:multiLevelType w:val="hybridMultilevel"/>
    <w:tmpl w:val="C03A1B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8B0447C"/>
    <w:multiLevelType w:val="hybridMultilevel"/>
    <w:tmpl w:val="F8AA19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344E2"/>
    <w:rsid w:val="00240F4F"/>
    <w:rsid w:val="002E55F2"/>
    <w:rsid w:val="00322B07"/>
    <w:rsid w:val="00411E3A"/>
    <w:rsid w:val="004344E2"/>
    <w:rsid w:val="00492990"/>
    <w:rsid w:val="0060632E"/>
    <w:rsid w:val="00607E7A"/>
    <w:rsid w:val="00683306"/>
    <w:rsid w:val="007B1484"/>
    <w:rsid w:val="00D94056"/>
    <w:rsid w:val="00DE1B90"/>
    <w:rsid w:val="00E72A0A"/>
    <w:rsid w:val="00EC75F7"/>
    <w:rsid w:val="00F1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72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nergo.gov.ru/activity/analitics/energyefficien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mf.org/external/pubs/ft/weo/2013/01/weodat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b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energo.gov.ru/press/doklady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95;&#1077;&#1073;&#1072;\&#1040;&#1089;&#1087;&#1080;&#1088;&#1072;&#1085;&#1090;&#1091;&#1088;&#1072;\&#1056;&#1072;&#1089;&#1095;&#1077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1268055206612934"/>
          <c:y val="3.057285868075044E-2"/>
          <c:w val="0.67166629941885614"/>
          <c:h val="0.89099622624644947"/>
        </c:manualLayout>
      </c:layout>
      <c:scatterChart>
        <c:scatterStyle val="smoothMarker"/>
        <c:ser>
          <c:idx val="1"/>
          <c:order val="0"/>
          <c:tx>
            <c:v>Китай</c:v>
          </c:tx>
          <c:xVal>
            <c:numRef>
              <c:f>'Энергоемкость_графики, данные'!$V$1:$AP$1</c:f>
              <c:numCache>
                <c:formatCode>General</c:formatCode>
                <c:ptCount val="21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</c:numCache>
            </c:numRef>
          </c:xVal>
          <c:yVal>
            <c:numRef>
              <c:f>'Энергоемкость_графики, данные'!$V$70:$AP$70</c:f>
              <c:numCache>
                <c:formatCode>General</c:formatCode>
                <c:ptCount val="21"/>
                <c:pt idx="0">
                  <c:v>0.6001020389509597</c:v>
                </c:pt>
                <c:pt idx="1">
                  <c:v>0.54100981364979772</c:v>
                </c:pt>
                <c:pt idx="2">
                  <c:v>0.50154795318638645</c:v>
                </c:pt>
                <c:pt idx="3">
                  <c:v>0.46780192565910478</c:v>
                </c:pt>
                <c:pt idx="4">
                  <c:v>0.44420845042454582</c:v>
                </c:pt>
                <c:pt idx="5">
                  <c:v>0.39294054739506246</c:v>
                </c:pt>
                <c:pt idx="6">
                  <c:v>0.35021420927546038</c:v>
                </c:pt>
                <c:pt idx="7">
                  <c:v>0.28902583669048154</c:v>
                </c:pt>
                <c:pt idx="8">
                  <c:v>0.26690848856558996</c:v>
                </c:pt>
                <c:pt idx="9">
                  <c:v>0.25148858058551288</c:v>
                </c:pt>
                <c:pt idx="10">
                  <c:v>0.29877337561227885</c:v>
                </c:pt>
                <c:pt idx="11">
                  <c:v>0.30720410830478084</c:v>
                </c:pt>
                <c:pt idx="12">
                  <c:v>0.32195229316241458</c:v>
                </c:pt>
                <c:pt idx="13">
                  <c:v>0.30926924096492009</c:v>
                </c:pt>
                <c:pt idx="14">
                  <c:v>0.29359409074379683</c:v>
                </c:pt>
                <c:pt idx="15">
                  <c:v>0.26616934427660877</c:v>
                </c:pt>
                <c:pt idx="16">
                  <c:v>0.24855235327960795</c:v>
                </c:pt>
                <c:pt idx="17">
                  <c:v>0.24424688793241583</c:v>
                </c:pt>
                <c:pt idx="18">
                  <c:v>0.23724381316336376</c:v>
                </c:pt>
                <c:pt idx="19">
                  <c:v>0.2311386337364579</c:v>
                </c:pt>
                <c:pt idx="20">
                  <c:v>0.2204798289814254</c:v>
                </c:pt>
              </c:numCache>
            </c:numRef>
          </c:yVal>
          <c:smooth val="1"/>
        </c:ser>
        <c:ser>
          <c:idx val="9"/>
          <c:order val="1"/>
          <c:tx>
            <c:v>США</c:v>
          </c:tx>
          <c:xVal>
            <c:numRef>
              <c:f>'Энергоемкость_графики, данные'!$V$1:$AP$1</c:f>
              <c:numCache>
                <c:formatCode>General</c:formatCode>
                <c:ptCount val="21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</c:numCache>
            </c:numRef>
          </c:xVal>
          <c:yVal>
            <c:numRef>
              <c:f>'Энергоемкость_графики, данные'!$V$78:$AP$78</c:f>
              <c:numCache>
                <c:formatCode>General</c:formatCode>
                <c:ptCount val="21"/>
                <c:pt idx="0">
                  <c:v>0.31165350109581702</c:v>
                </c:pt>
                <c:pt idx="1">
                  <c:v>0.30310506837449808</c:v>
                </c:pt>
                <c:pt idx="2">
                  <c:v>0.29073484682751954</c:v>
                </c:pt>
                <c:pt idx="3">
                  <c:v>0.28346679703963462</c:v>
                </c:pt>
                <c:pt idx="4">
                  <c:v>0.27718401857504171</c:v>
                </c:pt>
                <c:pt idx="5">
                  <c:v>0.2625429800716485</c:v>
                </c:pt>
                <c:pt idx="6">
                  <c:v>0.24973062412754915</c:v>
                </c:pt>
                <c:pt idx="7">
                  <c:v>0.23947185545517721</c:v>
                </c:pt>
                <c:pt idx="8">
                  <c:v>0.22985537319844546</c:v>
                </c:pt>
                <c:pt idx="9">
                  <c:v>0.21750553534234066</c:v>
                </c:pt>
                <c:pt idx="10">
                  <c:v>0.21569585521926651</c:v>
                </c:pt>
                <c:pt idx="11">
                  <c:v>0.20662838885411131</c:v>
                </c:pt>
                <c:pt idx="12">
                  <c:v>0.19815662371079662</c:v>
                </c:pt>
                <c:pt idx="13">
                  <c:v>0.18626390819895508</c:v>
                </c:pt>
                <c:pt idx="14">
                  <c:v>0.1743787937685016</c:v>
                </c:pt>
                <c:pt idx="15">
                  <c:v>0.16913215253757038</c:v>
                </c:pt>
                <c:pt idx="16">
                  <c:v>0.16234768097232286</c:v>
                </c:pt>
                <c:pt idx="17">
                  <c:v>0.15786140342716476</c:v>
                </c:pt>
                <c:pt idx="18">
                  <c:v>0.15710819940099013</c:v>
                </c:pt>
                <c:pt idx="19">
                  <c:v>0.150527256656833</c:v>
                </c:pt>
                <c:pt idx="20">
                  <c:v>0.14082468639920945</c:v>
                </c:pt>
              </c:numCache>
            </c:numRef>
          </c:yVal>
          <c:smooth val="1"/>
        </c:ser>
        <c:ser>
          <c:idx val="6"/>
          <c:order val="2"/>
          <c:tx>
            <c:v>Россия</c:v>
          </c:tx>
          <c:xVal>
            <c:numRef>
              <c:f>'Энергоемкость_графики, данные'!$V$1:$AP$1</c:f>
              <c:numCache>
                <c:formatCode>General</c:formatCode>
                <c:ptCount val="21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</c:numCache>
            </c:numRef>
          </c:xVal>
          <c:yVal>
            <c:numRef>
              <c:f>'Энергоемкость_графики, данные'!$V$75:$AP$75</c:f>
              <c:numCache>
                <c:formatCode>General</c:formatCode>
                <c:ptCount val="21"/>
                <c:pt idx="0">
                  <c:v>0.70187680215078063</c:v>
                </c:pt>
                <c:pt idx="1">
                  <c:v>0.70595479836670061</c:v>
                </c:pt>
                <c:pt idx="2">
                  <c:v>0.72247516620115604</c:v>
                </c:pt>
                <c:pt idx="3">
                  <c:v>0.7015498991935486</c:v>
                </c:pt>
                <c:pt idx="4">
                  <c:v>0.69186323086873092</c:v>
                </c:pt>
                <c:pt idx="5">
                  <c:v>0.63650973415382972</c:v>
                </c:pt>
                <c:pt idx="6">
                  <c:v>0.66483229816353895</c:v>
                </c:pt>
                <c:pt idx="7">
                  <c:v>0.62830123955088113</c:v>
                </c:pt>
                <c:pt idx="8">
                  <c:v>0.57125115869505283</c:v>
                </c:pt>
                <c:pt idx="9">
                  <c:v>0.53380664742859629</c:v>
                </c:pt>
                <c:pt idx="10">
                  <c:v>0.48809555379112496</c:v>
                </c:pt>
                <c:pt idx="11">
                  <c:v>0.45931805264529879</c:v>
                </c:pt>
                <c:pt idx="12">
                  <c:v>0.42112258843639006</c:v>
                </c:pt>
                <c:pt idx="13">
                  <c:v>0.38350193194918242</c:v>
                </c:pt>
                <c:pt idx="14">
                  <c:v>0.35383795140336893</c:v>
                </c:pt>
                <c:pt idx="15">
                  <c:v>0.31847434811543351</c:v>
                </c:pt>
                <c:pt idx="16">
                  <c:v>0.29844582349387672</c:v>
                </c:pt>
                <c:pt idx="17">
                  <c:v>0.30441026416235223</c:v>
                </c:pt>
                <c:pt idx="18">
                  <c:v>0.29830066315801695</c:v>
                </c:pt>
                <c:pt idx="19">
                  <c:v>0.2871101127585603</c:v>
                </c:pt>
                <c:pt idx="20">
                  <c:v>0.27621066972135039</c:v>
                </c:pt>
              </c:numCache>
            </c:numRef>
          </c:yVal>
          <c:smooth val="1"/>
        </c:ser>
        <c:ser>
          <c:idx val="10"/>
          <c:order val="3"/>
          <c:tx>
            <c:v>Индия</c:v>
          </c:tx>
          <c:xVal>
            <c:numRef>
              <c:f>'Энергоемкость_графики, данные'!$V$1:$AP$1</c:f>
              <c:numCache>
                <c:formatCode>General</c:formatCode>
                <c:ptCount val="21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</c:numCache>
            </c:numRef>
          </c:xVal>
          <c:yVal>
            <c:numRef>
              <c:f>'Энергоемкость_графики, данные'!$V$79:$AP$79</c:f>
              <c:numCache>
                <c:formatCode>General</c:formatCode>
                <c:ptCount val="21"/>
                <c:pt idx="0">
                  <c:v>0.25775309178933409</c:v>
                </c:pt>
                <c:pt idx="1">
                  <c:v>0.24685038628540029</c:v>
                </c:pt>
                <c:pt idx="2">
                  <c:v>0.24133710154345397</c:v>
                </c:pt>
                <c:pt idx="3">
                  <c:v>0.23532592734172139</c:v>
                </c:pt>
                <c:pt idx="4">
                  <c:v>0.22949690162170441</c:v>
                </c:pt>
                <c:pt idx="5">
                  <c:v>0.22435390390174448</c:v>
                </c:pt>
                <c:pt idx="6">
                  <c:v>0.21617447218020899</c:v>
                </c:pt>
                <c:pt idx="7">
                  <c:v>0.20417672316632671</c:v>
                </c:pt>
                <c:pt idx="8">
                  <c:v>0.19936848616129446</c:v>
                </c:pt>
                <c:pt idx="9">
                  <c:v>0.18851061637640307</c:v>
                </c:pt>
                <c:pt idx="10">
                  <c:v>0.17409364749870054</c:v>
                </c:pt>
                <c:pt idx="11">
                  <c:v>0.16401846267055542</c:v>
                </c:pt>
                <c:pt idx="12">
                  <c:v>0.16022217969811692</c:v>
                </c:pt>
                <c:pt idx="13">
                  <c:v>0.15027624856062571</c:v>
                </c:pt>
                <c:pt idx="14">
                  <c:v>0.13949878280831754</c:v>
                </c:pt>
                <c:pt idx="15">
                  <c:v>0.13391933382625107</c:v>
                </c:pt>
                <c:pt idx="16">
                  <c:v>0.13240726443444076</c:v>
                </c:pt>
                <c:pt idx="17">
                  <c:v>0.13665482661148157</c:v>
                </c:pt>
                <c:pt idx="18">
                  <c:v>0.12942078913114022</c:v>
                </c:pt>
                <c:pt idx="19">
                  <c:v>0.12633195364649921</c:v>
                </c:pt>
                <c:pt idx="20">
                  <c:v>0.12029360605861365</c:v>
                </c:pt>
              </c:numCache>
            </c:numRef>
          </c:yVal>
          <c:smooth val="1"/>
        </c:ser>
        <c:ser>
          <c:idx val="4"/>
          <c:order val="4"/>
          <c:tx>
            <c:v>Япония</c:v>
          </c:tx>
          <c:xVal>
            <c:numRef>
              <c:f>'Энергоемкость_графики, данные'!$V$1:$AP$1</c:f>
              <c:numCache>
                <c:formatCode>General</c:formatCode>
                <c:ptCount val="21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</c:numCache>
            </c:numRef>
          </c:xVal>
          <c:yVal>
            <c:numRef>
              <c:f>'Энергоемкость_графики, данные'!$V$73:$AP$73</c:f>
              <c:numCache>
                <c:formatCode>General</c:formatCode>
                <c:ptCount val="21"/>
                <c:pt idx="0">
                  <c:v>0.17391058504942053</c:v>
                </c:pt>
                <c:pt idx="1">
                  <c:v>0.17232307778420436</c:v>
                </c:pt>
                <c:pt idx="2">
                  <c:v>0.1738442329585187</c:v>
                </c:pt>
                <c:pt idx="3">
                  <c:v>0.17192575648377359</c:v>
                </c:pt>
                <c:pt idx="4">
                  <c:v>0.16768422622852999</c:v>
                </c:pt>
                <c:pt idx="5">
                  <c:v>0.16341132246586851</c:v>
                </c:pt>
                <c:pt idx="6">
                  <c:v>0.16319914520304352</c:v>
                </c:pt>
                <c:pt idx="7">
                  <c:v>0.16323955589342293</c:v>
                </c:pt>
                <c:pt idx="8">
                  <c:v>0.15846541344145479</c:v>
                </c:pt>
                <c:pt idx="9">
                  <c:v>0.15399571745242899</c:v>
                </c:pt>
                <c:pt idx="10">
                  <c:v>0.14987109852020283</c:v>
                </c:pt>
                <c:pt idx="11">
                  <c:v>0.14454975297833314</c:v>
                </c:pt>
                <c:pt idx="12">
                  <c:v>0.14095957746665091</c:v>
                </c:pt>
                <c:pt idx="13">
                  <c:v>0.13551584720414689</c:v>
                </c:pt>
                <c:pt idx="14">
                  <c:v>0.1292110850180041</c:v>
                </c:pt>
                <c:pt idx="15">
                  <c:v>0.12177953223524483</c:v>
                </c:pt>
                <c:pt idx="16">
                  <c:v>0.11864144152689902</c:v>
                </c:pt>
                <c:pt idx="17">
                  <c:v>0.11451905981301501</c:v>
                </c:pt>
                <c:pt idx="18">
                  <c:v>0.11459208294006377</c:v>
                </c:pt>
                <c:pt idx="19">
                  <c:v>0.10714393877361023</c:v>
                </c:pt>
                <c:pt idx="20">
                  <c:v>0.10333000496338399</c:v>
                </c:pt>
              </c:numCache>
            </c:numRef>
          </c:yVal>
          <c:smooth val="1"/>
        </c:ser>
        <c:ser>
          <c:idx val="0"/>
          <c:order val="5"/>
          <c:tx>
            <c:v>Канада</c:v>
          </c:tx>
          <c:xVal>
            <c:numRef>
              <c:f>'Энергоемкость_графики, данные'!$V$1:$AP$1</c:f>
              <c:numCache>
                <c:formatCode>General</c:formatCode>
                <c:ptCount val="21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</c:numCache>
            </c:numRef>
          </c:xVal>
          <c:yVal>
            <c:numRef>
              <c:f>'Энергоемкость_графики, данные'!$V$69:$AP$69</c:f>
              <c:numCache>
                <c:formatCode>General</c:formatCode>
                <c:ptCount val="21"/>
                <c:pt idx="0">
                  <c:v>0.43287747172180879</c:v>
                </c:pt>
                <c:pt idx="1">
                  <c:v>0.41956669311109124</c:v>
                </c:pt>
                <c:pt idx="2">
                  <c:v>0.40552417783144695</c:v>
                </c:pt>
                <c:pt idx="3">
                  <c:v>0.38883059344759247</c:v>
                </c:pt>
                <c:pt idx="4">
                  <c:v>0.38804118665498377</c:v>
                </c:pt>
                <c:pt idx="5">
                  <c:v>0.36766411351728912</c:v>
                </c:pt>
                <c:pt idx="6">
                  <c:v>0.33881806073823106</c:v>
                </c:pt>
                <c:pt idx="7">
                  <c:v>0.32385839327109955</c:v>
                </c:pt>
                <c:pt idx="8">
                  <c:v>0.31252331854114818</c:v>
                </c:pt>
                <c:pt idx="9">
                  <c:v>0.2896181491227609</c:v>
                </c:pt>
                <c:pt idx="10">
                  <c:v>0.30595424717186642</c:v>
                </c:pt>
                <c:pt idx="11">
                  <c:v>0.29650954278015251</c:v>
                </c:pt>
                <c:pt idx="12">
                  <c:v>0.28694824415656145</c:v>
                </c:pt>
                <c:pt idx="13">
                  <c:v>0.28114028711064698</c:v>
                </c:pt>
                <c:pt idx="14">
                  <c:v>0.26116507061280031</c:v>
                </c:pt>
                <c:pt idx="15">
                  <c:v>0.25309392837325906</c:v>
                </c:pt>
                <c:pt idx="16">
                  <c:v>0.24506981161707189</c:v>
                </c:pt>
                <c:pt idx="17">
                  <c:v>0.23950140993107091</c:v>
                </c:pt>
                <c:pt idx="18">
                  <c:v>0.23033018857600207</c:v>
                </c:pt>
                <c:pt idx="19">
                  <c:v>0.23004901165289143</c:v>
                </c:pt>
                <c:pt idx="20">
                  <c:v>0.22092156813999225</c:v>
                </c:pt>
              </c:numCache>
            </c:numRef>
          </c:yVal>
          <c:smooth val="1"/>
        </c:ser>
        <c:ser>
          <c:idx val="3"/>
          <c:order val="6"/>
          <c:tx>
            <c:v>Германия</c:v>
          </c:tx>
          <c:xVal>
            <c:numRef>
              <c:f>'Энергоемкость_графики, данные'!$V$1:$AP$1</c:f>
              <c:numCache>
                <c:formatCode>General</c:formatCode>
                <c:ptCount val="21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</c:numCache>
            </c:numRef>
          </c:xVal>
          <c:yVal>
            <c:numRef>
              <c:f>'Энергоемкость_графики, данные'!$V$72:$AP$72</c:f>
              <c:numCache>
                <c:formatCode>General</c:formatCode>
                <c:ptCount val="21"/>
                <c:pt idx="0">
                  <c:v>0.20566942890946263</c:v>
                </c:pt>
                <c:pt idx="1">
                  <c:v>0.20171372010044575</c:v>
                </c:pt>
                <c:pt idx="2">
                  <c:v>0.19122678538013185</c:v>
                </c:pt>
                <c:pt idx="3">
                  <c:v>0.18517303756049677</c:v>
                </c:pt>
                <c:pt idx="4">
                  <c:v>0.18613469658962281</c:v>
                </c:pt>
                <c:pt idx="5">
                  <c:v>0.17646192277675218</c:v>
                </c:pt>
                <c:pt idx="6">
                  <c:v>0.16996225770851245</c:v>
                </c:pt>
                <c:pt idx="7">
                  <c:v>0.1616757979451178</c:v>
                </c:pt>
                <c:pt idx="8">
                  <c:v>0.15413099035573713</c:v>
                </c:pt>
                <c:pt idx="9">
                  <c:v>0.15040178184831768</c:v>
                </c:pt>
                <c:pt idx="10">
                  <c:v>0.14743819514460424</c:v>
                </c:pt>
                <c:pt idx="11">
                  <c:v>0.14630866832202491</c:v>
                </c:pt>
                <c:pt idx="12">
                  <c:v>0.14059603046511324</c:v>
                </c:pt>
                <c:pt idx="13">
                  <c:v>0.13369971013004023</c:v>
                </c:pt>
                <c:pt idx="14">
                  <c:v>0.12702158880623651</c:v>
                </c:pt>
                <c:pt idx="15">
                  <c:v>0.1140842331299347</c:v>
                </c:pt>
                <c:pt idx="16">
                  <c:v>0.11150608300325779</c:v>
                </c:pt>
                <c:pt idx="17">
                  <c:v>0.10960671684218595</c:v>
                </c:pt>
                <c:pt idx="18">
                  <c:v>0.10901548601497675</c:v>
                </c:pt>
                <c:pt idx="19">
                  <c:v>9.8396654770648143E-2</c:v>
                </c:pt>
                <c:pt idx="20">
                  <c:v>9.7495549830172584E-2</c:v>
                </c:pt>
              </c:numCache>
            </c:numRef>
          </c:yVal>
          <c:smooth val="1"/>
        </c:ser>
        <c:ser>
          <c:idx val="5"/>
          <c:order val="7"/>
          <c:tx>
            <c:v>Бразилия</c:v>
          </c:tx>
          <c:xVal>
            <c:numRef>
              <c:f>'Энергоемкость_графики, данные'!$V$1:$AP$1</c:f>
              <c:numCache>
                <c:formatCode>General</c:formatCode>
                <c:ptCount val="21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</c:numCache>
            </c:numRef>
          </c:xVal>
          <c:yVal>
            <c:numRef>
              <c:f>'Энергоемкость_графики, данные'!$V$80:$AP$80</c:f>
              <c:numCache>
                <c:formatCode>General</c:formatCode>
                <c:ptCount val="21"/>
                <c:pt idx="0">
                  <c:v>0.15094312606197144</c:v>
                </c:pt>
                <c:pt idx="1">
                  <c:v>0.14544740693150593</c:v>
                </c:pt>
                <c:pt idx="2">
                  <c:v>0.14000300747201239</c:v>
                </c:pt>
                <c:pt idx="3">
                  <c:v>0.13844661535482908</c:v>
                </c:pt>
                <c:pt idx="4">
                  <c:v>0.14113033246006995</c:v>
                </c:pt>
                <c:pt idx="5">
                  <c:v>0.14259416545543074</c:v>
                </c:pt>
                <c:pt idx="6">
                  <c:v>0.14648424635699481</c:v>
                </c:pt>
                <c:pt idx="7">
                  <c:v>0.1477062794592448</c:v>
                </c:pt>
                <c:pt idx="8">
                  <c:v>0.14363090502862089</c:v>
                </c:pt>
                <c:pt idx="9">
                  <c:v>0.13574335123435746</c:v>
                </c:pt>
                <c:pt idx="10">
                  <c:v>0.13956608589085817</c:v>
                </c:pt>
                <c:pt idx="11">
                  <c:v>0.13811773756904078</c:v>
                </c:pt>
                <c:pt idx="12">
                  <c:v>0.13387355538993265</c:v>
                </c:pt>
                <c:pt idx="13">
                  <c:v>0.13063200648237669</c:v>
                </c:pt>
                <c:pt idx="14">
                  <c:v>0.1250194056462198</c:v>
                </c:pt>
                <c:pt idx="15">
                  <c:v>0.12152101651037533</c:v>
                </c:pt>
                <c:pt idx="16">
                  <c:v>0.11819928228634193</c:v>
                </c:pt>
                <c:pt idx="17">
                  <c:v>0.11676816809034457</c:v>
                </c:pt>
                <c:pt idx="18">
                  <c:v>0.11799474786168823</c:v>
                </c:pt>
                <c:pt idx="19">
                  <c:v>0.11633796505763719</c:v>
                </c:pt>
                <c:pt idx="20">
                  <c:v>0.11661641731611584</c:v>
                </c:pt>
              </c:numCache>
            </c:numRef>
          </c:yVal>
          <c:smooth val="1"/>
        </c:ser>
        <c:ser>
          <c:idx val="7"/>
          <c:order val="8"/>
          <c:tx>
            <c:v>Корея</c:v>
          </c:tx>
          <c:xVal>
            <c:numRef>
              <c:f>'Энергоемкость_графики, данные'!$V$1:$AP$1</c:f>
              <c:numCache>
                <c:formatCode>General</c:formatCode>
                <c:ptCount val="21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</c:numCache>
            </c:numRef>
          </c:xVal>
          <c:yVal>
            <c:numRef>
              <c:f>'Энергоемкость_графики, данные'!$V$81:$AP$81</c:f>
              <c:numCache>
                <c:formatCode>General</c:formatCode>
                <c:ptCount val="21"/>
                <c:pt idx="0">
                  <c:v>0.27711567156948247</c:v>
                </c:pt>
                <c:pt idx="1">
                  <c:v>0.27950393623565711</c:v>
                </c:pt>
                <c:pt idx="2">
                  <c:v>0.27193054632953967</c:v>
                </c:pt>
                <c:pt idx="3">
                  <c:v>0.26818312251059823</c:v>
                </c:pt>
                <c:pt idx="4">
                  <c:v>0.27064225488948784</c:v>
                </c:pt>
                <c:pt idx="5">
                  <c:v>0.27570157300335107</c:v>
                </c:pt>
                <c:pt idx="6">
                  <c:v>0.26644342303326929</c:v>
                </c:pt>
                <c:pt idx="7">
                  <c:v>0.25862600101157879</c:v>
                </c:pt>
                <c:pt idx="8">
                  <c:v>0.24634066167797825</c:v>
                </c:pt>
                <c:pt idx="9">
                  <c:v>0.23751039638411944</c:v>
                </c:pt>
                <c:pt idx="10">
                  <c:v>0.2261468518153546</c:v>
                </c:pt>
                <c:pt idx="11">
                  <c:v>0.22255790961051303</c:v>
                </c:pt>
                <c:pt idx="12">
                  <c:v>0.21054456001307781</c:v>
                </c:pt>
                <c:pt idx="13">
                  <c:v>0.2013237400626037</c:v>
                </c:pt>
                <c:pt idx="14">
                  <c:v>0.18718319936312369</c:v>
                </c:pt>
                <c:pt idx="15">
                  <c:v>0.18005664912945443</c:v>
                </c:pt>
                <c:pt idx="16">
                  <c:v>0.17553356188337715</c:v>
                </c:pt>
                <c:pt idx="17">
                  <c:v>0.17419634143656954</c:v>
                </c:pt>
                <c:pt idx="18">
                  <c:v>0.17407578426044351</c:v>
                </c:pt>
                <c:pt idx="19">
                  <c:v>0.16922716591468889</c:v>
                </c:pt>
                <c:pt idx="20">
                  <c:v>0.16797600378209346</c:v>
                </c:pt>
              </c:numCache>
            </c:numRef>
          </c:yVal>
          <c:smooth val="1"/>
        </c:ser>
        <c:ser>
          <c:idx val="2"/>
          <c:order val="9"/>
          <c:tx>
            <c:v>Франция</c:v>
          </c:tx>
          <c:xVal>
            <c:numRef>
              <c:f>'Энергоемкость_графики, данные'!$V$1:$AP$1</c:f>
              <c:numCache>
                <c:formatCode>General</c:formatCode>
                <c:ptCount val="21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</c:numCache>
            </c:numRef>
          </c:xVal>
          <c:yVal>
            <c:numRef>
              <c:f>'Энергоемкость_графики, данные'!$V$71:$AP$71</c:f>
              <c:numCache>
                <c:formatCode>General</c:formatCode>
                <c:ptCount val="21"/>
                <c:pt idx="0">
                  <c:v>0.2093358223126727</c:v>
                </c:pt>
                <c:pt idx="1">
                  <c:v>0.20600438829048123</c:v>
                </c:pt>
                <c:pt idx="2">
                  <c:v>0.1939371609796742</c:v>
                </c:pt>
                <c:pt idx="3">
                  <c:v>0.19120226230322065</c:v>
                </c:pt>
                <c:pt idx="4">
                  <c:v>0.19273771838553996</c:v>
                </c:pt>
                <c:pt idx="5">
                  <c:v>0.18253454901847918</c:v>
                </c:pt>
                <c:pt idx="6">
                  <c:v>0.17909072336134163</c:v>
                </c:pt>
                <c:pt idx="7">
                  <c:v>0.17377984292071794</c:v>
                </c:pt>
                <c:pt idx="8">
                  <c:v>0.16627024134634524</c:v>
                </c:pt>
                <c:pt idx="9">
                  <c:v>0.16067015244865315</c:v>
                </c:pt>
                <c:pt idx="10">
                  <c:v>0.15604484364661039</c:v>
                </c:pt>
                <c:pt idx="11">
                  <c:v>0.15377836344949844</c:v>
                </c:pt>
                <c:pt idx="12">
                  <c:v>0.1485392606283617</c:v>
                </c:pt>
                <c:pt idx="13">
                  <c:v>0.14025825346255849</c:v>
                </c:pt>
                <c:pt idx="14">
                  <c:v>0.1315802832631098</c:v>
                </c:pt>
                <c:pt idx="15">
                  <c:v>0.12380266617023422</c:v>
                </c:pt>
                <c:pt idx="16">
                  <c:v>0.12173682274448068</c:v>
                </c:pt>
                <c:pt idx="17">
                  <c:v>0.11793473085989403</c:v>
                </c:pt>
                <c:pt idx="18">
                  <c:v>0.11813398965412733</c:v>
                </c:pt>
                <c:pt idx="19">
                  <c:v>0.10972183324449584</c:v>
                </c:pt>
                <c:pt idx="20">
                  <c:v>0.10886987831328884</c:v>
                </c:pt>
              </c:numCache>
            </c:numRef>
          </c:yVal>
          <c:smooth val="1"/>
        </c:ser>
        <c:axId val="70117248"/>
        <c:axId val="77021184"/>
      </c:scatterChart>
      <c:valAx>
        <c:axId val="70117248"/>
        <c:scaling>
          <c:orientation val="minMax"/>
          <c:max val="2012"/>
          <c:min val="1992"/>
        </c:scaling>
        <c:axPos val="b"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021184"/>
        <c:crosses val="autoZero"/>
        <c:crossBetween val="midCat"/>
      </c:valAx>
      <c:valAx>
        <c:axId val="77021184"/>
        <c:scaling>
          <c:orientation val="minMax"/>
          <c:max val="0.75000000000000022"/>
          <c:min val="0.05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800">
                    <a:latin typeface="Times New Roman" pitchFamily="18" charset="0"/>
                    <a:cs typeface="Times New Roman" pitchFamily="18" charset="0"/>
                  </a:rPr>
                  <a:t>т.н.э./тыс. </a:t>
                </a: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$</a:t>
                </a:r>
                <a:endParaRPr lang="ru-RU" sz="8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3.2663729459087923E-3"/>
              <c:y val="0.3920665050797222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11724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9067363888351183"/>
          <c:y val="0.19177233658569293"/>
          <c:w val="0.20605716915777381"/>
          <c:h val="0.61645532682861437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BelchikovaES</dc:creator>
  <cp:lastModifiedBy>BelchikovaES</cp:lastModifiedBy>
  <cp:revision>5</cp:revision>
  <dcterms:created xsi:type="dcterms:W3CDTF">2014-02-23T07:19:00Z</dcterms:created>
  <dcterms:modified xsi:type="dcterms:W3CDTF">2014-02-23T09:12:00Z</dcterms:modified>
</cp:coreProperties>
</file>