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3" w:rsidRDefault="00917673" w:rsidP="00B606A0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Е.В. Богдан, студ.; рук. Н.Б. Карницкий, д.т.н., проф.</w:t>
      </w:r>
    </w:p>
    <w:p w:rsidR="00917673" w:rsidRDefault="00917673" w:rsidP="00B606A0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(БНТУ, г. Минск)</w:t>
      </w:r>
    </w:p>
    <w:p w:rsidR="00917673" w:rsidRDefault="00917673" w:rsidP="00B606A0">
      <w:pPr>
        <w:suppressAutoHyphens/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749B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ЗМЕНЕНИЕ УСЛОВИЙ ЭКСПЛУАТАЦИИ СТАНЦИЙ </w:t>
      </w:r>
      <w:r w:rsidRPr="005E749B">
        <w:rPr>
          <w:rFonts w:ascii="Times New Roman" w:hAnsi="Times New Roman"/>
          <w:b/>
          <w:sz w:val="24"/>
          <w:szCs w:val="24"/>
          <w:lang w:val="ru-RU"/>
        </w:rPr>
        <w:t>ПРИ ВВОДЕ БЕЛОРУССКОЙ АЭС</w:t>
      </w:r>
    </w:p>
    <w:p w:rsidR="00917673" w:rsidRDefault="00917673" w:rsidP="00B606A0">
      <w:pPr>
        <w:spacing w:before="240"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Установленная мощность энергосистемы Республики Беларусь на конец 2014 года составила 9446 МВт </w:t>
      </w:r>
      <w:r w:rsidRPr="00F43486">
        <w:rPr>
          <w:rFonts w:ascii="Times New Roman" w:hAnsi="Times New Roman"/>
          <w:sz w:val="20"/>
          <w:szCs w:val="20"/>
          <w:lang w:val="ru-RU"/>
        </w:rPr>
        <w:t>[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F43486">
        <w:rPr>
          <w:rFonts w:ascii="Times New Roman" w:hAnsi="Times New Roman"/>
          <w:sz w:val="20"/>
          <w:szCs w:val="20"/>
          <w:lang w:val="ru-RU"/>
        </w:rPr>
        <w:t>]</w:t>
      </w:r>
      <w:r>
        <w:rPr>
          <w:rFonts w:ascii="Times New Roman" w:hAnsi="Times New Roman"/>
          <w:sz w:val="20"/>
          <w:szCs w:val="20"/>
          <w:lang w:val="ru-RU"/>
        </w:rPr>
        <w:t>. Основное производство эле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трической и тепловой энергии осуществляется на 13 наиболее крупных</w:t>
      </w:r>
      <w:r w:rsidRPr="00F43486">
        <w:rPr>
          <w:rFonts w:ascii="Times New Roman" w:hAnsi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базовых</w:t>
      </w:r>
      <w:r w:rsidRPr="00F43486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 xml:space="preserve"> ТЭС, в числе которых десять крупных ТЭЦ </w:t>
      </w:r>
      <w:r w:rsidRPr="00F43486">
        <w:rPr>
          <w:rFonts w:ascii="Times New Roman" w:hAnsi="Times New Roman"/>
          <w:sz w:val="20"/>
          <w:szCs w:val="20"/>
          <w:lang w:val="ru-RU"/>
        </w:rPr>
        <w:t>[2].</w:t>
      </w:r>
      <w:r>
        <w:rPr>
          <w:rFonts w:ascii="Times New Roman" w:hAnsi="Times New Roman"/>
          <w:sz w:val="20"/>
          <w:szCs w:val="20"/>
          <w:lang w:val="ru-RU"/>
        </w:rPr>
        <w:t xml:space="preserve"> Вместе с тем, помимо электростанций, входящих в состав ГПО "Белэнерго", эксплуатируется 183 блок-станции, суммарная мощность которых с</w:t>
      </w:r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  <w:lang w:val="ru-RU"/>
        </w:rPr>
        <w:t>ста</w:t>
      </w:r>
      <w:r>
        <w:rPr>
          <w:rFonts w:ascii="Times New Roman" w:hAnsi="Times New Roman"/>
          <w:sz w:val="20"/>
          <w:szCs w:val="20"/>
          <w:lang w:val="ru-RU"/>
        </w:rPr>
        <w:t>в</w:t>
      </w:r>
      <w:r>
        <w:rPr>
          <w:rFonts w:ascii="Times New Roman" w:hAnsi="Times New Roman"/>
          <w:sz w:val="20"/>
          <w:szCs w:val="20"/>
          <w:lang w:val="ru-RU"/>
        </w:rPr>
        <w:t>ляет 636 МВт.</w:t>
      </w:r>
    </w:p>
    <w:p w:rsidR="00917673" w:rsidRDefault="00917673" w:rsidP="00B606A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Ввод АЭС - первого энергоблока мощностью 1194 МВт в 2018 году и в дальнейшем второго энергоблока той же мощности - непосредс</w:t>
      </w:r>
      <w:r>
        <w:rPr>
          <w:rFonts w:ascii="Times New Roman" w:hAnsi="Times New Roman"/>
          <w:sz w:val="20"/>
          <w:szCs w:val="20"/>
          <w:lang w:val="ru-RU"/>
        </w:rPr>
        <w:t>т</w:t>
      </w:r>
      <w:r>
        <w:rPr>
          <w:rFonts w:ascii="Times New Roman" w:hAnsi="Times New Roman"/>
          <w:sz w:val="20"/>
          <w:szCs w:val="20"/>
          <w:lang w:val="ru-RU"/>
        </w:rPr>
        <w:t>венно скажется на изменении базовой части графика электрических нагрузок. Возникнут необходимость эффективного покрытия пиковой мощности и сопутствующая этому проблема рационального размещ</w:t>
      </w:r>
      <w:r>
        <w:rPr>
          <w:rFonts w:ascii="Times New Roman" w:hAnsi="Times New Roman"/>
          <w:sz w:val="20"/>
          <w:szCs w:val="20"/>
          <w:lang w:val="ru-RU"/>
        </w:rPr>
        <w:t>е</w:t>
      </w:r>
      <w:r>
        <w:rPr>
          <w:rFonts w:ascii="Times New Roman" w:hAnsi="Times New Roman"/>
          <w:sz w:val="20"/>
          <w:szCs w:val="20"/>
          <w:lang w:val="ru-RU"/>
        </w:rPr>
        <w:t>ния подобных электроста</w:t>
      </w:r>
      <w:r>
        <w:rPr>
          <w:rFonts w:ascii="Times New Roman" w:hAnsi="Times New Roman"/>
          <w:sz w:val="20"/>
          <w:szCs w:val="20"/>
          <w:lang w:val="ru-RU"/>
        </w:rPr>
        <w:t>н</w:t>
      </w:r>
      <w:r>
        <w:rPr>
          <w:rFonts w:ascii="Times New Roman" w:hAnsi="Times New Roman"/>
          <w:sz w:val="20"/>
          <w:szCs w:val="20"/>
          <w:lang w:val="ru-RU"/>
        </w:rPr>
        <w:t>ций.</w:t>
      </w:r>
    </w:p>
    <w:p w:rsidR="00917673" w:rsidRPr="00572C56" w:rsidRDefault="00917673" w:rsidP="00B606A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настоящему времени все электростанции энергосистемы в той или иной мере принимают участие в покрытии пиковых нагрузок. 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ряду с этим, ввод мощности АЭС станет причиной возникновения н</w:t>
      </w:r>
      <w:r>
        <w:rPr>
          <w:rFonts w:ascii="Times New Roman" w:hAnsi="Times New Roman"/>
          <w:sz w:val="20"/>
          <w:szCs w:val="20"/>
          <w:lang w:val="ru-RU"/>
        </w:rPr>
        <w:t>е</w:t>
      </w:r>
      <w:r>
        <w:rPr>
          <w:rFonts w:ascii="Times New Roman" w:hAnsi="Times New Roman"/>
          <w:sz w:val="20"/>
          <w:szCs w:val="20"/>
          <w:lang w:val="ru-RU"/>
        </w:rPr>
        <w:t>обходимости поиска других эффективных способов покрытия пиковых нагрузок. Данная проблема может частично решаться путем увелич</w:t>
      </w:r>
      <w:r>
        <w:rPr>
          <w:rFonts w:ascii="Times New Roman" w:hAnsi="Times New Roman"/>
          <w:sz w:val="20"/>
          <w:szCs w:val="20"/>
          <w:lang w:val="ru-RU"/>
        </w:rPr>
        <w:t>е</w:t>
      </w:r>
      <w:r>
        <w:rPr>
          <w:rFonts w:ascii="Times New Roman" w:hAnsi="Times New Roman"/>
          <w:sz w:val="20"/>
          <w:szCs w:val="20"/>
          <w:lang w:val="ru-RU"/>
        </w:rPr>
        <w:t>ния дополнительной мощности агрегатами ТЭС, наращивания пиковой мощности на существующих энергетических источниках</w:t>
      </w:r>
      <w:r w:rsidRPr="00513181">
        <w:rPr>
          <w:rFonts w:ascii="Times New Roman" w:hAnsi="Times New Roman"/>
          <w:sz w:val="20"/>
          <w:szCs w:val="20"/>
          <w:lang w:val="ru-RU"/>
        </w:rPr>
        <w:t xml:space="preserve"> [3]</w:t>
      </w:r>
      <w:r>
        <w:rPr>
          <w:rFonts w:ascii="Times New Roman" w:hAnsi="Times New Roman"/>
          <w:sz w:val="20"/>
          <w:szCs w:val="20"/>
          <w:lang w:val="ru-RU"/>
        </w:rPr>
        <w:t>. Для эне</w:t>
      </w:r>
      <w:r>
        <w:rPr>
          <w:rFonts w:ascii="Times New Roman" w:hAnsi="Times New Roman"/>
          <w:sz w:val="20"/>
          <w:szCs w:val="20"/>
          <w:lang w:val="ru-RU"/>
        </w:rPr>
        <w:t>р</w:t>
      </w:r>
      <w:r>
        <w:rPr>
          <w:rFonts w:ascii="Times New Roman" w:hAnsi="Times New Roman"/>
          <w:sz w:val="20"/>
          <w:szCs w:val="20"/>
          <w:lang w:val="ru-RU"/>
        </w:rPr>
        <w:t>госистемы Беларуси с интегрированной АЭС в качестве пиковых и</w:t>
      </w: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точников наиболее рационально применять ГТУ, ГАЭС и в некоторых случаях ПГУ, когда нужно быстро набрать (сбросить) нагрузку. К пр</w:t>
      </w:r>
      <w:r>
        <w:rPr>
          <w:rFonts w:ascii="Times New Roman" w:hAnsi="Times New Roman"/>
          <w:sz w:val="20"/>
          <w:szCs w:val="20"/>
          <w:lang w:val="ru-RU"/>
        </w:rPr>
        <w:t>и</w:t>
      </w:r>
      <w:r>
        <w:rPr>
          <w:rFonts w:ascii="Times New Roman" w:hAnsi="Times New Roman"/>
          <w:sz w:val="20"/>
          <w:szCs w:val="20"/>
          <w:lang w:val="ru-RU"/>
        </w:rPr>
        <w:t>меру, пуск из холодного состояния ПГУ мощностью 170 МВт на Ми</w:t>
      </w:r>
      <w:r>
        <w:rPr>
          <w:rFonts w:ascii="Times New Roman" w:hAnsi="Times New Roman"/>
          <w:sz w:val="20"/>
          <w:szCs w:val="20"/>
          <w:lang w:val="ru-RU"/>
        </w:rPr>
        <w:t>н</w:t>
      </w:r>
      <w:r>
        <w:rPr>
          <w:rFonts w:ascii="Times New Roman" w:hAnsi="Times New Roman"/>
          <w:sz w:val="20"/>
          <w:szCs w:val="20"/>
          <w:lang w:val="ru-RU"/>
        </w:rPr>
        <w:t>ской ТЭЦ-3 занимает 12-15 минут. Высокоманевренные свойства газ</w:t>
      </w:r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  <w:lang w:val="ru-RU"/>
        </w:rPr>
        <w:t>вых турбин обуславливают их использование для покрытия остроп</w:t>
      </w:r>
      <w:r>
        <w:rPr>
          <w:rFonts w:ascii="Times New Roman" w:hAnsi="Times New Roman"/>
          <w:sz w:val="20"/>
          <w:szCs w:val="20"/>
          <w:lang w:val="ru-RU"/>
        </w:rPr>
        <w:t>и</w:t>
      </w:r>
      <w:r>
        <w:rPr>
          <w:rFonts w:ascii="Times New Roman" w:hAnsi="Times New Roman"/>
          <w:sz w:val="20"/>
          <w:szCs w:val="20"/>
          <w:lang w:val="ru-RU"/>
        </w:rPr>
        <w:t>ковой и полупиковой частей графиков нагрузки. Рассчитывая показ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тели пиковых нагрузок электростанций, следует учитывать размещ</w:t>
      </w:r>
      <w:r>
        <w:rPr>
          <w:rFonts w:ascii="Times New Roman" w:hAnsi="Times New Roman"/>
          <w:sz w:val="20"/>
          <w:szCs w:val="20"/>
          <w:lang w:val="ru-RU"/>
        </w:rPr>
        <w:t>е</w:t>
      </w:r>
      <w:r>
        <w:rPr>
          <w:rFonts w:ascii="Times New Roman" w:hAnsi="Times New Roman"/>
          <w:sz w:val="20"/>
          <w:szCs w:val="20"/>
          <w:lang w:val="ru-RU"/>
        </w:rPr>
        <w:t>ние электрогенерирующих пиковых мощностей и режим работы сети электропередач</w:t>
      </w:r>
      <w:r w:rsidRPr="00572C56">
        <w:rPr>
          <w:rFonts w:ascii="Times New Roman" w:hAnsi="Times New Roman"/>
          <w:sz w:val="20"/>
          <w:szCs w:val="20"/>
          <w:lang w:val="ru-RU"/>
        </w:rPr>
        <w:t xml:space="preserve"> [4].</w:t>
      </w:r>
    </w:p>
    <w:p w:rsidR="00917673" w:rsidRDefault="00917673" w:rsidP="00B606A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Не менее важным фактором, влияющим на выбор генерирующих мощностей на перспективу, является проблемы резервирования мо</w:t>
      </w:r>
      <w:r>
        <w:rPr>
          <w:rFonts w:ascii="Times New Roman" w:hAnsi="Times New Roman"/>
          <w:sz w:val="20"/>
          <w:szCs w:val="20"/>
          <w:lang w:val="ru-RU"/>
        </w:rPr>
        <w:t>щ</w:t>
      </w:r>
      <w:r>
        <w:rPr>
          <w:rFonts w:ascii="Times New Roman" w:hAnsi="Times New Roman"/>
          <w:sz w:val="20"/>
          <w:szCs w:val="20"/>
          <w:lang w:val="ru-RU"/>
        </w:rPr>
        <w:t>ности в случае планового или аварийного останова одного/двух эне</w:t>
      </w:r>
      <w:r>
        <w:rPr>
          <w:rFonts w:ascii="Times New Roman" w:hAnsi="Times New Roman"/>
          <w:sz w:val="20"/>
          <w:szCs w:val="20"/>
          <w:lang w:val="ru-RU"/>
        </w:rPr>
        <w:t>р</w:t>
      </w:r>
      <w:r>
        <w:rPr>
          <w:rFonts w:ascii="Times New Roman" w:hAnsi="Times New Roman"/>
          <w:sz w:val="20"/>
          <w:szCs w:val="20"/>
          <w:lang w:val="ru-RU"/>
        </w:rPr>
        <w:t>гоблоков АЭС. Для выполнения поставленной задачи наиболее эффе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тивны: Березовская ГРЭС, установленная мощность которой на да</w:t>
      </w:r>
      <w:r>
        <w:rPr>
          <w:rFonts w:ascii="Times New Roman" w:hAnsi="Times New Roman"/>
          <w:sz w:val="20"/>
          <w:szCs w:val="20"/>
          <w:lang w:val="ru-RU"/>
        </w:rPr>
        <w:t>н</w:t>
      </w:r>
      <w:r>
        <w:rPr>
          <w:rFonts w:ascii="Times New Roman" w:hAnsi="Times New Roman"/>
          <w:sz w:val="20"/>
          <w:szCs w:val="20"/>
          <w:lang w:val="ru-RU"/>
        </w:rPr>
        <w:t>ном этапе превышает 1000 МВт; Лукомльская ГРЭС мощностью п</w:t>
      </w:r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  <w:lang w:val="ru-RU"/>
        </w:rPr>
        <w:t>рядка 2900 МВт.</w:t>
      </w:r>
    </w:p>
    <w:p w:rsidR="00917673" w:rsidRDefault="00917673" w:rsidP="00B606A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Таким образом, к моменту пуска первого энергоблока АЭС (2018 год), должны быть проработаны следующие вопросы:</w:t>
      </w:r>
    </w:p>
    <w:p w:rsidR="00917673" w:rsidRDefault="00917673" w:rsidP="00B606A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 Покрытие пиковых нагрузок.</w:t>
      </w:r>
    </w:p>
    <w:p w:rsidR="00917673" w:rsidRDefault="00917673" w:rsidP="00D04B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 Резервирование мощностей в случае планового (аварийного) о</w:t>
      </w: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танова энергоблоков.</w:t>
      </w:r>
    </w:p>
    <w:p w:rsidR="00917673" w:rsidRDefault="00917673" w:rsidP="00D04B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 Транспортирование электроэнергии удаленным потребителям.</w:t>
      </w:r>
    </w:p>
    <w:p w:rsidR="00917673" w:rsidRPr="0001615D" w:rsidRDefault="00917673" w:rsidP="00D04B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7673" w:rsidRDefault="00917673" w:rsidP="0055574F">
      <w:pPr>
        <w:spacing w:line="240" w:lineRule="auto"/>
        <w:ind w:firstLine="28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Библиографический список</w:t>
      </w:r>
    </w:p>
    <w:p w:rsidR="00917673" w:rsidRDefault="00917673" w:rsidP="005557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55574F">
        <w:rPr>
          <w:rFonts w:ascii="Times New Roman" w:hAnsi="Times New Roman"/>
          <w:sz w:val="16"/>
          <w:szCs w:val="16"/>
          <w:lang w:val="ru-RU"/>
        </w:rPr>
        <w:t xml:space="preserve">1. </w:t>
      </w:r>
      <w:r>
        <w:rPr>
          <w:rFonts w:ascii="Times New Roman" w:hAnsi="Times New Roman"/>
          <w:sz w:val="16"/>
          <w:szCs w:val="16"/>
          <w:lang w:val="ru-RU"/>
        </w:rPr>
        <w:t xml:space="preserve">Энергетика </w:t>
      </w:r>
      <w:r>
        <w:rPr>
          <w:rFonts w:ascii="Times New Roman" w:hAnsi="Times New Roman"/>
          <w:sz w:val="16"/>
          <w:szCs w:val="16"/>
        </w:rPr>
        <w:t>Беларус</w:t>
      </w:r>
      <w:r>
        <w:rPr>
          <w:rFonts w:ascii="Times New Roman" w:hAnsi="Times New Roman"/>
          <w:sz w:val="16"/>
          <w:szCs w:val="16"/>
          <w:lang w:val="ru-RU"/>
        </w:rPr>
        <w:t>и. 20 декабря 2014.</w:t>
      </w:r>
    </w:p>
    <w:p w:rsidR="00917673" w:rsidRDefault="00917673" w:rsidP="00FA659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2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 </w:t>
      </w:r>
      <w:r w:rsidRPr="00FA659F">
        <w:rPr>
          <w:rFonts w:ascii="Times New Roman" w:hAnsi="Times New Roman"/>
          <w:b/>
          <w:sz w:val="16"/>
          <w:szCs w:val="16"/>
          <w:lang w:val="ru-RU"/>
        </w:rPr>
        <w:t>Савчук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Е.Л.</w:t>
      </w:r>
      <w:r>
        <w:rPr>
          <w:rFonts w:ascii="Times New Roman" w:hAnsi="Times New Roman"/>
          <w:sz w:val="16"/>
          <w:szCs w:val="16"/>
          <w:lang w:val="ru-RU"/>
        </w:rPr>
        <w:t xml:space="preserve"> Состояние энергосистемы Республики Беларусь и краткая оценка ее э</w:t>
      </w:r>
      <w:r>
        <w:rPr>
          <w:rFonts w:ascii="Times New Roman" w:hAnsi="Times New Roman"/>
          <w:sz w:val="16"/>
          <w:szCs w:val="16"/>
          <w:lang w:val="ru-RU"/>
        </w:rPr>
        <w:t>ф</w:t>
      </w:r>
      <w:r>
        <w:rPr>
          <w:rFonts w:ascii="Times New Roman" w:hAnsi="Times New Roman"/>
          <w:sz w:val="16"/>
          <w:szCs w:val="16"/>
          <w:lang w:val="ru-RU"/>
        </w:rPr>
        <w:t>фективности //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 Энерг</w:t>
      </w:r>
      <w:r>
        <w:rPr>
          <w:rFonts w:ascii="Times New Roman" w:hAnsi="Times New Roman"/>
          <w:sz w:val="16"/>
          <w:szCs w:val="16"/>
          <w:lang w:val="ru-RU"/>
        </w:rPr>
        <w:t>оэффективность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>– 2013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– </w:t>
      </w:r>
      <w:r>
        <w:rPr>
          <w:rFonts w:ascii="Times New Roman" w:hAnsi="Times New Roman"/>
          <w:sz w:val="16"/>
          <w:szCs w:val="16"/>
          <w:lang w:val="ru-RU"/>
        </w:rPr>
        <w:t>№6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.– </w:t>
      </w:r>
      <w:r>
        <w:rPr>
          <w:rFonts w:ascii="Times New Roman" w:hAnsi="Times New Roman"/>
          <w:sz w:val="16"/>
          <w:szCs w:val="16"/>
          <w:lang w:val="ru-RU"/>
        </w:rPr>
        <w:t>С. 14-15</w:t>
      </w:r>
      <w:r w:rsidRPr="0055574F">
        <w:rPr>
          <w:rFonts w:ascii="Times New Roman" w:hAnsi="Times New Roman"/>
          <w:sz w:val="16"/>
          <w:szCs w:val="16"/>
          <w:lang w:val="ru-RU"/>
        </w:rPr>
        <w:t>.</w:t>
      </w:r>
    </w:p>
    <w:p w:rsidR="00917673" w:rsidRDefault="00917673" w:rsidP="00FA659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3. </w:t>
      </w:r>
      <w:r w:rsidRPr="00FA659F">
        <w:rPr>
          <w:rFonts w:ascii="Times New Roman" w:hAnsi="Times New Roman"/>
          <w:b/>
          <w:sz w:val="16"/>
          <w:szCs w:val="16"/>
          <w:lang w:val="ru-RU"/>
        </w:rPr>
        <w:t>С</w:t>
      </w:r>
      <w:r>
        <w:rPr>
          <w:rFonts w:ascii="Times New Roman" w:hAnsi="Times New Roman"/>
          <w:b/>
          <w:sz w:val="16"/>
          <w:szCs w:val="16"/>
          <w:lang w:val="ru-RU"/>
        </w:rPr>
        <w:t>еднин А.В., Богданович М.Л.</w:t>
      </w:r>
      <w:r>
        <w:rPr>
          <w:rFonts w:ascii="Times New Roman" w:hAnsi="Times New Roman"/>
          <w:sz w:val="16"/>
          <w:szCs w:val="16"/>
          <w:lang w:val="ru-RU"/>
        </w:rPr>
        <w:t xml:space="preserve"> Влияние АЭС на перспективное развитие Белору</w:t>
      </w:r>
      <w:r>
        <w:rPr>
          <w:rFonts w:ascii="Times New Roman" w:hAnsi="Times New Roman"/>
          <w:sz w:val="16"/>
          <w:szCs w:val="16"/>
          <w:lang w:val="ru-RU"/>
        </w:rPr>
        <w:t>с</w:t>
      </w:r>
      <w:r>
        <w:rPr>
          <w:rFonts w:ascii="Times New Roman" w:hAnsi="Times New Roman"/>
          <w:sz w:val="16"/>
          <w:szCs w:val="16"/>
          <w:lang w:val="ru-RU"/>
        </w:rPr>
        <w:t>ской энергетической системы //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 Энер</w:t>
      </w:r>
      <w:r>
        <w:rPr>
          <w:rFonts w:ascii="Times New Roman" w:hAnsi="Times New Roman"/>
          <w:sz w:val="16"/>
          <w:szCs w:val="16"/>
          <w:lang w:val="ru-RU"/>
        </w:rPr>
        <w:t>гия и Менеджмент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>– 2007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– </w:t>
      </w:r>
      <w:r>
        <w:rPr>
          <w:rFonts w:ascii="Times New Roman" w:hAnsi="Times New Roman"/>
          <w:sz w:val="16"/>
          <w:szCs w:val="16"/>
          <w:lang w:val="ru-RU"/>
        </w:rPr>
        <w:t>№4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.– </w:t>
      </w:r>
      <w:r>
        <w:rPr>
          <w:rFonts w:ascii="Times New Roman" w:hAnsi="Times New Roman"/>
          <w:sz w:val="16"/>
          <w:szCs w:val="16"/>
          <w:lang w:val="ru-RU"/>
        </w:rPr>
        <w:t>С. 3-5</w:t>
      </w:r>
      <w:r w:rsidRPr="0055574F">
        <w:rPr>
          <w:rFonts w:ascii="Times New Roman" w:hAnsi="Times New Roman"/>
          <w:sz w:val="16"/>
          <w:szCs w:val="16"/>
          <w:lang w:val="ru-RU"/>
        </w:rPr>
        <w:t>.</w:t>
      </w:r>
    </w:p>
    <w:p w:rsidR="00917673" w:rsidRPr="00FA659F" w:rsidRDefault="00917673" w:rsidP="00FA659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4. 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Дикмаров С.В. </w:t>
      </w:r>
      <w:r>
        <w:rPr>
          <w:rFonts w:ascii="Times New Roman" w:hAnsi="Times New Roman"/>
          <w:sz w:val="16"/>
          <w:szCs w:val="16"/>
          <w:lang w:val="ru-RU"/>
        </w:rPr>
        <w:t>Способы покрытия пиковых нагрузок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>–Львов</w:t>
      </w:r>
      <w:r w:rsidRPr="0055574F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>–1979.</w:t>
      </w:r>
    </w:p>
    <w:p w:rsidR="00917673" w:rsidRPr="0055574F" w:rsidRDefault="00917673" w:rsidP="00FA659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7673" w:rsidRPr="0055574F" w:rsidRDefault="00917673" w:rsidP="0055574F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7673" w:rsidRPr="0055574F" w:rsidRDefault="00917673" w:rsidP="005557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917673" w:rsidRPr="0055574F" w:rsidSect="0067247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2"/>
  <w:defaultTabStop w:val="708"/>
  <w:autoHyphenation/>
  <w:hyphenationZone w:val="14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470"/>
    <w:rsid w:val="0001615D"/>
    <w:rsid w:val="001101CF"/>
    <w:rsid w:val="00111E16"/>
    <w:rsid w:val="00145986"/>
    <w:rsid w:val="002B53D4"/>
    <w:rsid w:val="004A461E"/>
    <w:rsid w:val="00513181"/>
    <w:rsid w:val="0055574F"/>
    <w:rsid w:val="00572C56"/>
    <w:rsid w:val="005D07D1"/>
    <w:rsid w:val="005E749B"/>
    <w:rsid w:val="00627CDC"/>
    <w:rsid w:val="00672470"/>
    <w:rsid w:val="008C26AE"/>
    <w:rsid w:val="00917673"/>
    <w:rsid w:val="00963E6F"/>
    <w:rsid w:val="009E1B58"/>
    <w:rsid w:val="00A522AA"/>
    <w:rsid w:val="00B606A0"/>
    <w:rsid w:val="00C645EB"/>
    <w:rsid w:val="00C85E94"/>
    <w:rsid w:val="00D04B81"/>
    <w:rsid w:val="00D24496"/>
    <w:rsid w:val="00DB451B"/>
    <w:rsid w:val="00DE514D"/>
    <w:rsid w:val="00F17688"/>
    <w:rsid w:val="00F43486"/>
    <w:rsid w:val="00FA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D4"/>
    <w:pPr>
      <w:spacing w:after="200" w:line="276" w:lineRule="auto"/>
    </w:pPr>
    <w:rPr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449</Words>
  <Characters>2562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2015-02-05T19:24:00Z</dcterms:created>
  <dcterms:modified xsi:type="dcterms:W3CDTF">2015-02-06T07:33:00Z</dcterms:modified>
</cp:coreProperties>
</file>