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82" w:rsidRPr="00FE479B" w:rsidRDefault="005D3082" w:rsidP="005D3082">
      <w:pPr>
        <w:pStyle w:val="aa"/>
        <w:spacing w:before="0" w:after="0" w:line="240" w:lineRule="auto"/>
        <w:jc w:val="right"/>
        <w:rPr>
          <w:lang w:val="ru-RU"/>
        </w:rPr>
      </w:pPr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М.Р. Лапшин, </w:t>
      </w:r>
      <w:proofErr w:type="spellStart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асп</w:t>
      </w:r>
      <w:proofErr w:type="spellEnd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.; рук. С.Т. </w:t>
      </w:r>
      <w:proofErr w:type="spellStart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Лескин</w:t>
      </w:r>
      <w:proofErr w:type="spellEnd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д.т</w:t>
      </w:r>
      <w:proofErr w:type="gramStart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.н</w:t>
      </w:r>
      <w:proofErr w:type="spellEnd"/>
      <w:proofErr w:type="gramEnd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, проф.</w:t>
      </w:r>
      <w:r w:rsidR="00FE479B" w:rsidRPr="00FE479B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,</w:t>
      </w:r>
    </w:p>
    <w:p w:rsidR="005D3082" w:rsidRPr="003857CE" w:rsidRDefault="005D3082" w:rsidP="005D3082">
      <w:pPr>
        <w:pStyle w:val="aa"/>
        <w:spacing w:before="0" w:after="0" w:line="240" w:lineRule="auto"/>
        <w:jc w:val="right"/>
        <w:rPr>
          <w:lang w:val="ru-RU"/>
        </w:rPr>
      </w:pPr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рук. А.О. Скоморохов </w:t>
      </w:r>
      <w:proofErr w:type="spellStart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д.т</w:t>
      </w:r>
      <w:proofErr w:type="gramStart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.н</w:t>
      </w:r>
      <w:proofErr w:type="spellEnd"/>
      <w:proofErr w:type="gramEnd"/>
      <w:r w:rsidRPr="003857CE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>, проф.</w:t>
      </w:r>
    </w:p>
    <w:p w:rsidR="005D3082" w:rsidRPr="003857CE" w:rsidRDefault="005D3082" w:rsidP="005D3082">
      <w:pPr>
        <w:pStyle w:val="ab"/>
        <w:spacing w:before="0" w:after="0" w:line="240" w:lineRule="auto"/>
        <w:jc w:val="right"/>
        <w:rPr>
          <w:lang w:val="ru-RU"/>
        </w:rPr>
      </w:pPr>
      <w:r w:rsidRPr="003857CE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(ИАТЭ НИЯУ МИФИ, </w:t>
      </w:r>
      <w:proofErr w:type="gramStart"/>
      <w:r w:rsidRPr="003857CE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г</w:t>
      </w:r>
      <w:proofErr w:type="gramEnd"/>
      <w:r w:rsidRPr="003857CE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. Обнинск)</w:t>
      </w:r>
    </w:p>
    <w:p w:rsidR="00D63118" w:rsidRDefault="005D3082" w:rsidP="005D3082">
      <w:pPr>
        <w:pStyle w:val="aa"/>
        <w:spacing w:before="0" w:after="0" w:line="0" w:lineRule="atLeast"/>
        <w:ind w:firstLine="284"/>
        <w:rPr>
          <w:rFonts w:ascii="Times New Roman" w:hAnsi="Times New Roman" w:cs="Times New Roman"/>
          <w:color w:val="auto"/>
          <w:sz w:val="24"/>
          <w:szCs w:val="20"/>
          <w:lang w:val="ru-RU"/>
        </w:rPr>
      </w:pPr>
      <w:r w:rsidRPr="005D3082">
        <w:rPr>
          <w:rFonts w:ascii="Times New Roman" w:hAnsi="Times New Roman" w:cs="Times New Roman"/>
          <w:color w:val="auto"/>
          <w:sz w:val="24"/>
          <w:szCs w:val="20"/>
          <w:lang w:val="ru-RU"/>
        </w:rPr>
        <w:t>Диагностика состояния ГЦН Калининской АЭС по данным технологического контроля.</w:t>
      </w:r>
    </w:p>
    <w:p w:rsidR="005D3082" w:rsidRPr="005D3082" w:rsidRDefault="005D3082" w:rsidP="005D3082">
      <w:pPr>
        <w:pStyle w:val="ab"/>
        <w:spacing w:before="0" w:after="0" w:line="0" w:lineRule="atLeast"/>
        <w:rPr>
          <w:lang w:val="ru-RU"/>
        </w:rPr>
      </w:pP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Главный циркуляционный насос (ГЦН) является важной и дорогостоящей составляющей атомной электростанции. Внезапный отказ ГЦН приводит к большим материальным затратам и длительному простою энергоблока, что в свою очередь ухудшает коэффициент использования мощности. В ситуации, когда удельные капиталовложения в строительство АЭС возра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тают, из-за повышения требований к безопасности, ухудшение экономических показателей АЭС может оказаться критическим в отношении конкурентоспособности на энергетическом рынке. Как показывается в работах [1,2], своевременное обнаружение аномалии в работе ГЦН и корректировка планового ремонта могла бы предотвратить внезапный отказ </w:t>
      </w:r>
      <w:r>
        <w:rPr>
          <w:rFonts w:ascii="Times New Roman" w:hAnsi="Times New Roman" w:cs="Times New Roman"/>
          <w:sz w:val="20"/>
          <w:szCs w:val="20"/>
          <w:lang w:val="ru-RU"/>
        </w:rPr>
        <w:t>ГЦН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. Аномалия начинает развиваться задолго до выхода технологических параметров за </w:t>
      </w:r>
      <w:proofErr w:type="spellStart"/>
      <w:r w:rsidRPr="005D3082">
        <w:rPr>
          <w:rFonts w:ascii="Times New Roman" w:hAnsi="Times New Roman" w:cs="Times New Roman"/>
          <w:sz w:val="20"/>
          <w:szCs w:val="20"/>
          <w:lang w:val="ru-RU"/>
        </w:rPr>
        <w:t>уставки</w:t>
      </w:r>
      <w:proofErr w:type="spellEnd"/>
      <w:r w:rsidRPr="005D308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На блоках с реактором ВВЭР-1000 в первом контуре установлено 4 ГЦН, которые представляют собой сложные насосные агрегаты. </w:t>
      </w:r>
      <w:proofErr w:type="gramStart"/>
      <w:r w:rsidRPr="005D3082">
        <w:rPr>
          <w:rFonts w:ascii="Times New Roman" w:hAnsi="Times New Roman" w:cs="Times New Roman"/>
          <w:sz w:val="20"/>
          <w:szCs w:val="20"/>
          <w:lang w:val="ru-RU"/>
        </w:rPr>
        <w:t>Каждый ГЦН состоит из рабочего колеса, вала, корпуса, подшипников, уплотнений, электродвигателя, теплообменника и т.д.</w:t>
      </w:r>
      <w:proofErr w:type="gramEnd"/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Все составляющие подвержены большим нагрузкам. Помимо этого, имеются вспомогательные системы, которые в свою очередь оказывают воздействие на работу насосов.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В настоящей работе рассматривается этап первичного анализа данных (параметров технологического контроля, которые фиксируются измерительными системами), делается попытка выявления совокупных зависимостей элементов оборудования друг от друга, выявления неочевидных и скрытых тенденций развития аномалий.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Учитываются следующие особенности эксплуатации насосов [1]:</w:t>
      </w:r>
    </w:p>
    <w:p w:rsidR="00D63118" w:rsidRPr="005D3082" w:rsidRDefault="005D3082" w:rsidP="005D3082">
      <w:pPr>
        <w:pStyle w:val="a0"/>
        <w:numPr>
          <w:ilvl w:val="0"/>
          <w:numId w:val="2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четыре ГЦН работают параллельно и в идентичных условиях;</w:t>
      </w:r>
    </w:p>
    <w:p w:rsidR="00D63118" w:rsidRPr="005D3082" w:rsidRDefault="005D3082" w:rsidP="005D3082">
      <w:pPr>
        <w:pStyle w:val="a0"/>
        <w:numPr>
          <w:ilvl w:val="0"/>
          <w:numId w:val="2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изменение состояния каждого из них во времени определяется общей причиной-поведением реакторной установки в целом, а также индивидуальными для каждого ГЦН процессами;</w:t>
      </w:r>
    </w:p>
    <w:p w:rsidR="00D63118" w:rsidRPr="005D3082" w:rsidRDefault="005D3082" w:rsidP="005D3082">
      <w:pPr>
        <w:pStyle w:val="a0"/>
        <w:numPr>
          <w:ilvl w:val="0"/>
          <w:numId w:val="2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вероятность одновременного выхода из строя 2-х или более ГЦН значительно меньше вероятности появления одного аномального ГЦН.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Исходные данные подготовлены в виде матриц </w:t>
      </w:r>
      <m:oMath>
        <m:r>
          <w:rPr>
            <w:rFonts w:ascii="Cambria Math" w:hAnsi="Cambria Math" w:cs="Times New Roman"/>
            <w:sz w:val="20"/>
            <w:szCs w:val="20"/>
          </w:rPr>
          <m:t>n</m:t>
        </m:r>
        <m:r>
          <w:rPr>
            <w:rFonts w:ascii="Cambria Math" w:hAnsi="Times New Roman" w:cs="Times New Roman"/>
            <w:sz w:val="20"/>
            <w:szCs w:val="20"/>
            <w:lang w:val="ru-RU"/>
          </w:rPr>
          <m:t>×</m:t>
        </m:r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усредненных значений датчиков по дням для каждого ГЦН. </w:t>
      </w:r>
      <m:oMath>
        <m:r>
          <w:rPr>
            <w:rFonts w:ascii="Cambria Math" w:hAnsi="Cambria Math" w:cs="Times New Roman"/>
            <w:sz w:val="20"/>
            <w:szCs w:val="20"/>
          </w:rPr>
          <m:t>n</m:t>
        </m:r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- число дней измерений,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- число признаков (температура, вибрация, давление). Матрицы объеденены в одну матрицу, как показано на рис.1. К матрице прилагается вектор классификации </w:t>
      </w:r>
      <w:proofErr w:type="gramStart"/>
      <w:r w:rsidRPr="005D3082">
        <w:rPr>
          <w:rFonts w:ascii="Times New Roman" w:hAnsi="Times New Roman" w:cs="Times New Roman"/>
          <w:i/>
          <w:sz w:val="20"/>
          <w:szCs w:val="20"/>
          <w:lang w:val="ru-RU"/>
        </w:rPr>
        <w:t>С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Таким образом каждая строка в матрице - это состояние насоса представленное вектором 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размерностью </w:t>
      </w:r>
      <m:oMath>
        <m:r>
          <w:rPr>
            <w:rFonts w:ascii="Cambria Math" w:hAnsi="Cambria Math" w:cs="Times New Roman"/>
            <w:sz w:val="20"/>
            <w:szCs w:val="20"/>
          </w:rPr>
          <m:t>n</m:t>
        </m:r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. Вектор </w:t>
      </w:r>
      <w:r w:rsidRPr="005D3082">
        <w:rPr>
          <w:rFonts w:ascii="Times New Roman" w:hAnsi="Times New Roman" w:cs="Times New Roman"/>
          <w:i/>
          <w:sz w:val="20"/>
          <w:szCs w:val="20"/>
          <w:lang w:val="ru-RU"/>
        </w:rPr>
        <w:t>С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классифицирует строки.</w:t>
      </w:r>
    </w:p>
    <w:p w:rsidR="00D63118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66040</wp:posOffset>
            </wp:positionV>
            <wp:extent cx="1862455" cy="2089150"/>
            <wp:effectExtent l="19050" t="0" r="4445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В работе </w:t>
      </w:r>
      <w:proofErr w:type="gramStart"/>
      <w:r w:rsidRPr="005D3082">
        <w:rPr>
          <w:rFonts w:ascii="Times New Roman" w:hAnsi="Times New Roman" w:cs="Times New Roman"/>
          <w:sz w:val="20"/>
          <w:szCs w:val="20"/>
          <w:lang w:val="ru-RU"/>
        </w:rPr>
        <w:t>рассматриваются методы визуализации данных и одним из них называется</w:t>
      </w:r>
      <w:proofErr w:type="gramEnd"/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"параллельными координатами". Он представляет собой построение всех векторов 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на одной плоскости как показано на рис.2. По оси абсцисс отложены признаки, по оси ординат - нормированные значения признаков. Используя параллельные координаты, можно увидеть по каким параметрам и в какой степени отличаются насосы друг от друга.</w:t>
      </w:r>
    </w:p>
    <w:p w:rsidR="005D3082" w:rsidRPr="00FE479B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16"/>
          <w:szCs w:val="20"/>
          <w:lang w:val="ru-RU"/>
        </w:rPr>
      </w:pPr>
      <w:r w:rsidRPr="00FE479B">
        <w:rPr>
          <w:rFonts w:ascii="Times New Roman" w:hAnsi="Times New Roman" w:cs="Times New Roman"/>
          <w:b/>
          <w:sz w:val="16"/>
          <w:szCs w:val="20"/>
          <w:lang w:val="ru-RU"/>
        </w:rPr>
        <w:t>Рис.1 - Исходная матрица</w:t>
      </w:r>
    </w:p>
    <w:p w:rsidR="005D3082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63118" w:rsidRPr="00FE479B" w:rsidRDefault="005D3082" w:rsidP="005D3082">
      <w:pPr>
        <w:pStyle w:val="a0"/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479B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3900799" cy="2155371"/>
            <wp:effectExtent l="19050" t="0" r="4451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76" cy="215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18" w:rsidRPr="00FE479B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16"/>
          <w:szCs w:val="20"/>
          <w:lang w:val="ru-RU"/>
        </w:rPr>
      </w:pPr>
      <w:r w:rsidRPr="00FE479B">
        <w:rPr>
          <w:rFonts w:ascii="Times New Roman" w:hAnsi="Times New Roman" w:cs="Times New Roman"/>
          <w:b/>
          <w:sz w:val="16"/>
          <w:szCs w:val="20"/>
          <w:lang w:val="ru-RU"/>
        </w:rPr>
        <w:t>Рис.2 - Параллельные координаты</w:t>
      </w:r>
    </w:p>
    <w:p w:rsidR="00D63118" w:rsidRPr="005D3082" w:rsidRDefault="00FE479B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</w:t>
      </w:r>
      <w:r w:rsidR="005D3082" w:rsidRPr="005D3082">
        <w:rPr>
          <w:rFonts w:ascii="Times New Roman" w:hAnsi="Times New Roman" w:cs="Times New Roman"/>
          <w:sz w:val="20"/>
          <w:szCs w:val="20"/>
          <w:lang w:val="ru-RU"/>
        </w:rPr>
        <w:t>-мерное пространство невозможно представить и визуализировать без каких-либо дополнительных действий.</w:t>
      </w:r>
      <w:proofErr w:type="gramEnd"/>
      <w:r w:rsidR="005D3082"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В работе к данным </w:t>
      </w:r>
      <w:r w:rsidR="005D3082" w:rsidRPr="005D308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применены два метода линейного преобразования </w:t>
      </w:r>
      <w:r>
        <w:rPr>
          <w:rFonts w:ascii="Times New Roman" w:hAnsi="Times New Roman" w:cs="Times New Roman"/>
          <w:sz w:val="20"/>
          <w:szCs w:val="20"/>
        </w:rPr>
        <w:t>n</w:t>
      </w:r>
      <w:r w:rsidR="005D3082"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-мерного пространства в </w:t>
      </w:r>
      <w:proofErr w:type="gramStart"/>
      <w:r w:rsidR="005D3082" w:rsidRPr="005D3082">
        <w:rPr>
          <w:rFonts w:ascii="Times New Roman" w:hAnsi="Times New Roman" w:cs="Times New Roman"/>
          <w:sz w:val="20"/>
          <w:szCs w:val="20"/>
          <w:lang w:val="ru-RU"/>
        </w:rPr>
        <w:t>двумерное</w:t>
      </w:r>
      <w:proofErr w:type="gramEnd"/>
      <w:r w:rsidR="005D3082"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. Метод </w:t>
      </w:r>
      <w:proofErr w:type="gramStart"/>
      <w:r w:rsidR="005D3082" w:rsidRPr="005D3082">
        <w:rPr>
          <w:rFonts w:ascii="Times New Roman" w:hAnsi="Times New Roman" w:cs="Times New Roman"/>
          <w:sz w:val="20"/>
          <w:szCs w:val="20"/>
          <w:lang w:val="ru-RU"/>
        </w:rPr>
        <w:t>линейного</w:t>
      </w:r>
      <w:proofErr w:type="gramEnd"/>
      <w:r w:rsidR="005D3082"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5D3082" w:rsidRPr="005D3082">
        <w:rPr>
          <w:rFonts w:ascii="Times New Roman" w:hAnsi="Times New Roman" w:cs="Times New Roman"/>
          <w:sz w:val="20"/>
          <w:szCs w:val="20"/>
          <w:lang w:val="ru-RU"/>
        </w:rPr>
        <w:t>шкалирования</w:t>
      </w:r>
      <w:proofErr w:type="spellEnd"/>
      <w:r w:rsidR="005D3082"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5D3082" w:rsidRPr="005D3082">
        <w:rPr>
          <w:rFonts w:ascii="Times New Roman" w:hAnsi="Times New Roman" w:cs="Times New Roman"/>
          <w:sz w:val="20"/>
          <w:szCs w:val="20"/>
          <w:lang w:val="ru-RU"/>
        </w:rPr>
        <w:t>Орлочи</w:t>
      </w:r>
      <w:proofErr w:type="spellEnd"/>
      <w:r w:rsidR="005D3082"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и метод главных компонент. Оба метода дают практически одинаковые результаты и представлены на рис.3.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3082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291860" cy="1724924"/>
            <wp:effectExtent l="19050" t="0" r="379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65" cy="172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18" w:rsidRPr="00FE479B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16"/>
          <w:szCs w:val="20"/>
          <w:lang w:val="ru-RU"/>
        </w:rPr>
      </w:pPr>
      <w:r w:rsidRPr="00FE479B">
        <w:rPr>
          <w:rFonts w:ascii="Times New Roman" w:hAnsi="Times New Roman" w:cs="Times New Roman"/>
          <w:b/>
          <w:sz w:val="16"/>
          <w:szCs w:val="20"/>
          <w:lang w:val="ru-RU"/>
        </w:rPr>
        <w:t>Рис.3 - Метод главных компонент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Как видно, состояние 3-го ГЦН значительно отличается от трех других. Интерпретация такого поведения - это дальнейшая задача проводимой диагностики, которая может потребовать предыстории работы насоса.</w:t>
      </w:r>
    </w:p>
    <w:p w:rsidR="00D63118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>Так же в работе представлен метод деревьев классификации, которые позволяют получить набор правил, по которым можно разделить насосы на классы.</w:t>
      </w:r>
    </w:p>
    <w:p w:rsidR="00D63118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Настоящая работа показывает как методы "тонкой" диагностики могут помочь разглядеть за выбросами, шумами и большой размерностью пространства тенденции развития аномалий на ранней стадии, без априорной информации об аномальных </w:t>
      </w:r>
      <w:r w:rsidR="00FE479B" w:rsidRPr="005D3082">
        <w:rPr>
          <w:rFonts w:ascii="Times New Roman" w:hAnsi="Times New Roman" w:cs="Times New Roman"/>
          <w:sz w:val="20"/>
          <w:szCs w:val="20"/>
          <w:lang w:val="ru-RU"/>
        </w:rPr>
        <w:t>состояниях</w:t>
      </w:r>
      <w:r w:rsidRPr="005D3082">
        <w:rPr>
          <w:rFonts w:ascii="Times New Roman" w:hAnsi="Times New Roman" w:cs="Times New Roman"/>
          <w:sz w:val="20"/>
          <w:szCs w:val="20"/>
          <w:lang w:val="ru-RU"/>
        </w:rPr>
        <w:t xml:space="preserve"> работы ГЦН.</w:t>
      </w:r>
    </w:p>
    <w:p w:rsidR="005D3082" w:rsidRPr="005D3082" w:rsidRDefault="005D3082" w:rsidP="005D3082">
      <w:pPr>
        <w:pStyle w:val="a0"/>
        <w:spacing w:after="0" w:line="0" w:lineRule="atLeast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D3082" w:rsidRDefault="005D3082" w:rsidP="005D3082">
      <w:pPr>
        <w:pStyle w:val="1"/>
        <w:numPr>
          <w:ilvl w:val="0"/>
          <w:numId w:val="4"/>
        </w:numPr>
        <w:spacing w:before="0" w:line="240" w:lineRule="auto"/>
        <w:ind w:left="0" w:firstLine="283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bookmarkStart w:id="0" w:name="литература"/>
      <w:bookmarkEnd w:id="0"/>
      <w:proofErr w:type="spellStart"/>
      <w:r>
        <w:rPr>
          <w:rFonts w:ascii="Times New Roman" w:hAnsi="Times New Roman"/>
          <w:color w:val="000000"/>
          <w:sz w:val="16"/>
          <w:szCs w:val="16"/>
        </w:rPr>
        <w:t>Библиографический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список</w:t>
      </w:r>
      <w:proofErr w:type="spellEnd"/>
    </w:p>
    <w:p w:rsidR="005D3082" w:rsidRPr="005D3082" w:rsidRDefault="005D3082" w:rsidP="005D3082">
      <w:pPr>
        <w:pStyle w:val="a1"/>
        <w:spacing w:after="0"/>
        <w:rPr>
          <w:sz w:val="16"/>
          <w:lang w:val="ru-RU"/>
        </w:rPr>
      </w:pPr>
    </w:p>
    <w:p w:rsidR="00FE479B" w:rsidRPr="00FE479B" w:rsidRDefault="00FE479B" w:rsidP="00FE479B">
      <w:pPr>
        <w:pStyle w:val="af0"/>
        <w:numPr>
          <w:ilvl w:val="7"/>
          <w:numId w:val="2"/>
        </w:numPr>
        <w:tabs>
          <w:tab w:val="clear" w:pos="3240"/>
        </w:tabs>
        <w:spacing w:after="0" w:line="240" w:lineRule="auto"/>
        <w:ind w:left="0" w:firstLine="283"/>
        <w:rPr>
          <w:rFonts w:ascii="Times New Roman" w:hAnsi="Times New Roman" w:cs="Times New Roman"/>
          <w:sz w:val="16"/>
          <w:szCs w:val="20"/>
        </w:rPr>
      </w:pPr>
      <w:r w:rsidRPr="00FE479B">
        <w:rPr>
          <w:rFonts w:ascii="Times New Roman" w:hAnsi="Times New Roman" w:cs="Times New Roman"/>
          <w:sz w:val="16"/>
          <w:szCs w:val="20"/>
        </w:rPr>
        <w:t xml:space="preserve">С.Т. </w:t>
      </w:r>
      <w:proofErr w:type="spellStart"/>
      <w:r w:rsidRPr="00FE479B">
        <w:rPr>
          <w:rFonts w:ascii="Times New Roman" w:hAnsi="Times New Roman" w:cs="Times New Roman"/>
          <w:sz w:val="16"/>
          <w:szCs w:val="20"/>
        </w:rPr>
        <w:t>Лескин</w:t>
      </w:r>
      <w:proofErr w:type="spellEnd"/>
      <w:r w:rsidRPr="00FE479B">
        <w:rPr>
          <w:rFonts w:ascii="Times New Roman" w:hAnsi="Times New Roman" w:cs="Times New Roman"/>
          <w:sz w:val="16"/>
          <w:szCs w:val="20"/>
        </w:rPr>
        <w:t xml:space="preserve">, Д.Г. </w:t>
      </w:r>
      <w:proofErr w:type="spellStart"/>
      <w:r w:rsidRPr="00FE479B">
        <w:rPr>
          <w:rFonts w:ascii="Times New Roman" w:hAnsi="Times New Roman" w:cs="Times New Roman"/>
          <w:sz w:val="16"/>
          <w:szCs w:val="20"/>
        </w:rPr>
        <w:t>Зарюгин</w:t>
      </w:r>
      <w:proofErr w:type="spellEnd"/>
      <w:r w:rsidRPr="00FE479B">
        <w:rPr>
          <w:rFonts w:ascii="Times New Roman" w:hAnsi="Times New Roman" w:cs="Times New Roman"/>
          <w:sz w:val="16"/>
          <w:szCs w:val="20"/>
        </w:rPr>
        <w:t xml:space="preserve">. Комплекс программ DINA I для диагностирования главных </w:t>
      </w:r>
      <w:proofErr w:type="spellStart"/>
      <w:proofErr w:type="gramStart"/>
      <w:r w:rsidRPr="00FE479B">
        <w:rPr>
          <w:rFonts w:ascii="Times New Roman" w:hAnsi="Times New Roman" w:cs="Times New Roman"/>
          <w:sz w:val="16"/>
          <w:szCs w:val="20"/>
        </w:rPr>
        <w:t>цир</w:t>
      </w:r>
      <w:proofErr w:type="spellEnd"/>
      <w:r w:rsidRPr="00FE479B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FE479B">
        <w:rPr>
          <w:rFonts w:ascii="Times New Roman" w:hAnsi="Times New Roman" w:cs="Times New Roman"/>
          <w:sz w:val="16"/>
          <w:szCs w:val="20"/>
        </w:rPr>
        <w:t>куляционных</w:t>
      </w:r>
      <w:proofErr w:type="spellEnd"/>
      <w:proofErr w:type="gramEnd"/>
      <w:r w:rsidRPr="00FE479B">
        <w:rPr>
          <w:rFonts w:ascii="Times New Roman" w:hAnsi="Times New Roman" w:cs="Times New Roman"/>
          <w:sz w:val="16"/>
          <w:szCs w:val="20"/>
        </w:rPr>
        <w:t xml:space="preserve"> насосов ВВЭР по данным оперативного технологического контроля. Известия вузов. Ядерная энергетика, 2001</w:t>
      </w:r>
    </w:p>
    <w:p w:rsidR="00D63118" w:rsidRPr="00FE479B" w:rsidRDefault="005D3082" w:rsidP="00FE479B">
      <w:pPr>
        <w:pStyle w:val="a0"/>
        <w:numPr>
          <w:ilvl w:val="7"/>
          <w:numId w:val="2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5D3082">
        <w:rPr>
          <w:rFonts w:ascii="Times New Roman" w:hAnsi="Times New Roman" w:cs="Times New Roman"/>
          <w:sz w:val="16"/>
          <w:szCs w:val="16"/>
          <w:lang w:val="ru-RU"/>
        </w:rPr>
        <w:t>Вапник</w:t>
      </w:r>
      <w:proofErr w:type="spellEnd"/>
      <w:r w:rsidRPr="005D3082">
        <w:rPr>
          <w:rFonts w:ascii="Times New Roman" w:hAnsi="Times New Roman" w:cs="Times New Roman"/>
          <w:sz w:val="16"/>
          <w:szCs w:val="16"/>
          <w:lang w:val="ru-RU"/>
        </w:rPr>
        <w:t xml:space="preserve"> В.Н., </w:t>
      </w:r>
      <w:proofErr w:type="spellStart"/>
      <w:r w:rsidRPr="005D3082">
        <w:rPr>
          <w:rFonts w:ascii="Times New Roman" w:hAnsi="Times New Roman" w:cs="Times New Roman"/>
          <w:sz w:val="16"/>
          <w:szCs w:val="16"/>
          <w:lang w:val="ru-RU"/>
        </w:rPr>
        <w:t>Червоненкис</w:t>
      </w:r>
      <w:proofErr w:type="spellEnd"/>
      <w:r w:rsidRPr="005D3082">
        <w:rPr>
          <w:rFonts w:ascii="Times New Roman" w:hAnsi="Times New Roman" w:cs="Times New Roman"/>
          <w:sz w:val="16"/>
          <w:szCs w:val="16"/>
          <w:lang w:val="ru-RU"/>
        </w:rPr>
        <w:t xml:space="preserve"> А.Я. Теория распознавания образов (статистические проблемы обучения). </w:t>
      </w:r>
      <w:r w:rsidRPr="00FE479B">
        <w:rPr>
          <w:rFonts w:ascii="Times New Roman" w:hAnsi="Times New Roman" w:cs="Times New Roman"/>
          <w:sz w:val="16"/>
          <w:szCs w:val="16"/>
          <w:lang w:val="ru-RU"/>
        </w:rPr>
        <w:t>Издательство "Наука". М., 1974.</w:t>
      </w:r>
    </w:p>
    <w:sectPr w:rsidR="00D63118" w:rsidRPr="00FE479B" w:rsidSect="005D3082">
      <w:pgSz w:w="8391" w:h="11907" w:code="11"/>
      <w:pgMar w:top="1134" w:right="1134" w:bottom="1134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7738"/>
    <w:multiLevelType w:val="multilevel"/>
    <w:tmpl w:val="CD5266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6F2710"/>
    <w:multiLevelType w:val="multilevel"/>
    <w:tmpl w:val="790636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2D09EA"/>
    <w:multiLevelType w:val="multilevel"/>
    <w:tmpl w:val="33769AC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5C3DE3"/>
    <w:multiLevelType w:val="multilevel"/>
    <w:tmpl w:val="BC2428C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1200" w:hanging="480"/>
      </w:pPr>
      <w:rPr>
        <w:rFonts w:ascii="OpenSymbol" w:hAnsi="OpenSymbol" w:cs="OpenSymbol" w:hint="default"/>
      </w:rPr>
    </w:lvl>
    <w:lvl w:ilvl="2">
      <w:start w:val="1"/>
      <w:numFmt w:val="bullet"/>
      <w:lvlText w:val="‣"/>
      <w:lvlJc w:val="left"/>
      <w:pPr>
        <w:tabs>
          <w:tab w:val="num" w:pos="1440"/>
        </w:tabs>
        <w:ind w:left="1920" w:hanging="480"/>
      </w:pPr>
      <w:rPr>
        <w:rFonts w:ascii="OpenSymbol" w:hAnsi="OpenSymbol" w:cs="OpenSymbol" w:hint="default"/>
      </w:rPr>
    </w:lvl>
    <w:lvl w:ilvl="3">
      <w:start w:val="1"/>
      <w:numFmt w:val="bullet"/>
      <w:lvlText w:val="⁃"/>
      <w:lvlJc w:val="left"/>
      <w:pPr>
        <w:tabs>
          <w:tab w:val="num" w:pos="2160"/>
        </w:tabs>
        <w:ind w:left="2640" w:hanging="480"/>
      </w:pPr>
      <w:rPr>
        <w:rFonts w:ascii="OpenSymbol" w:hAnsi="Open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◦"/>
      <w:lvlJc w:val="left"/>
      <w:pPr>
        <w:tabs>
          <w:tab w:val="num" w:pos="3600"/>
        </w:tabs>
        <w:ind w:left="4080" w:hanging="480"/>
      </w:pPr>
      <w:rPr>
        <w:rFonts w:ascii="OpenSymbol" w:hAnsi="OpenSymbol" w:cs="OpenSymbol" w:hint="default"/>
      </w:rPr>
    </w:lvl>
    <w:lvl w:ilvl="6">
      <w:start w:val="1"/>
      <w:numFmt w:val="bullet"/>
      <w:lvlText w:val="‣"/>
      <w:lvlJc w:val="left"/>
      <w:pPr>
        <w:tabs>
          <w:tab w:val="num" w:pos="4320"/>
        </w:tabs>
        <w:ind w:left="4800" w:hanging="48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B545F7"/>
    <w:multiLevelType w:val="multilevel"/>
    <w:tmpl w:val="B0F65D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118"/>
    <w:rsid w:val="00024DC4"/>
    <w:rsid w:val="005D3082"/>
    <w:rsid w:val="00D63118"/>
    <w:rsid w:val="00FE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C4"/>
  </w:style>
  <w:style w:type="paragraph" w:styleId="1">
    <w:name w:val="heading 1"/>
    <w:basedOn w:val="a0"/>
    <w:next w:val="a1"/>
    <w:rsid w:val="00D63118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6"/>
      <w:szCs w:val="36"/>
    </w:rPr>
  </w:style>
  <w:style w:type="paragraph" w:styleId="2">
    <w:name w:val="heading 2"/>
    <w:basedOn w:val="a0"/>
    <w:next w:val="a1"/>
    <w:rsid w:val="00D63118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libri" w:hAnsi="Calibri"/>
      <w:b/>
      <w:bCs/>
      <w:color w:val="4F81BD"/>
      <w:sz w:val="32"/>
      <w:szCs w:val="32"/>
    </w:rPr>
  </w:style>
  <w:style w:type="paragraph" w:styleId="3">
    <w:name w:val="heading 3"/>
    <w:basedOn w:val="a0"/>
    <w:next w:val="a1"/>
    <w:rsid w:val="00D63118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libri" w:hAnsi="Calibri"/>
      <w:b/>
      <w:bCs/>
      <w:color w:val="4F81BD"/>
      <w:sz w:val="28"/>
      <w:szCs w:val="28"/>
    </w:rPr>
  </w:style>
  <w:style w:type="paragraph" w:styleId="4">
    <w:name w:val="heading 4"/>
    <w:basedOn w:val="a0"/>
    <w:next w:val="a1"/>
    <w:rsid w:val="00D63118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libri" w:hAnsi="Calibri"/>
      <w:b/>
      <w:bCs/>
      <w:color w:val="4F81BD"/>
    </w:rPr>
  </w:style>
  <w:style w:type="paragraph" w:styleId="5">
    <w:name w:val="heading 5"/>
    <w:basedOn w:val="a0"/>
    <w:next w:val="a1"/>
    <w:rsid w:val="00D63118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libri" w:hAnsi="Calibri"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63118"/>
    <w:pPr>
      <w:tabs>
        <w:tab w:val="left" w:pos="720"/>
      </w:tabs>
      <w:suppressAutoHyphens/>
    </w:pPr>
    <w:rPr>
      <w:rFonts w:ascii="Cambria" w:eastAsia="WenQuanYi Micro Hei" w:hAnsi="Cambria" w:cs="Cambria"/>
      <w:sz w:val="24"/>
      <w:szCs w:val="24"/>
      <w:lang w:val="en-US" w:eastAsia="en-US"/>
    </w:rPr>
  </w:style>
  <w:style w:type="character" w:customStyle="1" w:styleId="BodyTextChar">
    <w:name w:val="Body Text Char"/>
    <w:basedOn w:val="a2"/>
    <w:rsid w:val="00D63118"/>
  </w:style>
  <w:style w:type="character" w:customStyle="1" w:styleId="VerbatimChar">
    <w:name w:val="Verbatim Char"/>
    <w:basedOn w:val="BodyTextChar"/>
    <w:rsid w:val="00D63118"/>
    <w:rPr>
      <w:rFonts w:ascii="Consolas" w:hAnsi="Consolas"/>
      <w:sz w:val="22"/>
    </w:rPr>
  </w:style>
  <w:style w:type="character" w:customStyle="1" w:styleId="a5">
    <w:name w:val="Привязка сноски"/>
    <w:basedOn w:val="BodyTextChar"/>
    <w:rsid w:val="00D63118"/>
    <w:rPr>
      <w:vertAlign w:val="superscript"/>
    </w:rPr>
  </w:style>
  <w:style w:type="character" w:customStyle="1" w:styleId="-">
    <w:name w:val="Интернет-ссылка"/>
    <w:basedOn w:val="BodyTextChar"/>
    <w:rsid w:val="00D63118"/>
    <w:rPr>
      <w:color w:val="4F81BD"/>
      <w:u w:val="single"/>
      <w:lang w:val="ru-RU" w:eastAsia="ru-RU" w:bidi="ru-RU"/>
    </w:rPr>
  </w:style>
  <w:style w:type="character" w:customStyle="1" w:styleId="KeywordTok">
    <w:name w:val="KeywordTok"/>
    <w:basedOn w:val="VerbatimChar"/>
    <w:rsid w:val="00D63118"/>
    <w:rPr>
      <w:b/>
      <w:color w:val="007020"/>
    </w:rPr>
  </w:style>
  <w:style w:type="character" w:customStyle="1" w:styleId="DataTypeTok">
    <w:name w:val="DataTypeTok"/>
    <w:basedOn w:val="VerbatimChar"/>
    <w:rsid w:val="00D63118"/>
    <w:rPr>
      <w:color w:val="902000"/>
    </w:rPr>
  </w:style>
  <w:style w:type="character" w:customStyle="1" w:styleId="DecValTok">
    <w:name w:val="DecValTok"/>
    <w:basedOn w:val="VerbatimChar"/>
    <w:rsid w:val="00D63118"/>
    <w:rPr>
      <w:color w:val="40A070"/>
    </w:rPr>
  </w:style>
  <w:style w:type="character" w:customStyle="1" w:styleId="BaseNTok">
    <w:name w:val="BaseNTok"/>
    <w:basedOn w:val="VerbatimChar"/>
    <w:rsid w:val="00D63118"/>
    <w:rPr>
      <w:color w:val="40A070"/>
    </w:rPr>
  </w:style>
  <w:style w:type="character" w:customStyle="1" w:styleId="FloatTok">
    <w:name w:val="FloatTok"/>
    <w:basedOn w:val="VerbatimChar"/>
    <w:rsid w:val="00D63118"/>
    <w:rPr>
      <w:color w:val="40A070"/>
    </w:rPr>
  </w:style>
  <w:style w:type="character" w:customStyle="1" w:styleId="CharTok">
    <w:name w:val="CharTok"/>
    <w:basedOn w:val="VerbatimChar"/>
    <w:rsid w:val="00D63118"/>
    <w:rPr>
      <w:color w:val="4070A0"/>
    </w:rPr>
  </w:style>
  <w:style w:type="character" w:customStyle="1" w:styleId="StringTok">
    <w:name w:val="StringTok"/>
    <w:basedOn w:val="VerbatimChar"/>
    <w:rsid w:val="00D63118"/>
    <w:rPr>
      <w:color w:val="4070A0"/>
    </w:rPr>
  </w:style>
  <w:style w:type="character" w:customStyle="1" w:styleId="CommentTok">
    <w:name w:val="CommentTok"/>
    <w:basedOn w:val="VerbatimChar"/>
    <w:rsid w:val="00D63118"/>
    <w:rPr>
      <w:i/>
      <w:color w:val="60A0B0"/>
    </w:rPr>
  </w:style>
  <w:style w:type="character" w:customStyle="1" w:styleId="OtherTok">
    <w:name w:val="OtherTok"/>
    <w:basedOn w:val="VerbatimChar"/>
    <w:rsid w:val="00D63118"/>
    <w:rPr>
      <w:color w:val="007020"/>
    </w:rPr>
  </w:style>
  <w:style w:type="character" w:customStyle="1" w:styleId="AlertTok">
    <w:name w:val="AlertTok"/>
    <w:basedOn w:val="VerbatimChar"/>
    <w:rsid w:val="00D63118"/>
    <w:rPr>
      <w:b/>
      <w:color w:val="FF0000"/>
    </w:rPr>
  </w:style>
  <w:style w:type="character" w:customStyle="1" w:styleId="FunctionTok">
    <w:name w:val="FunctionTok"/>
    <w:basedOn w:val="VerbatimChar"/>
    <w:rsid w:val="00D63118"/>
    <w:rPr>
      <w:color w:val="06287E"/>
    </w:rPr>
  </w:style>
  <w:style w:type="character" w:customStyle="1" w:styleId="RegionMarkerTok">
    <w:name w:val="RegionMarkerTok"/>
    <w:basedOn w:val="VerbatimChar"/>
    <w:rsid w:val="00D63118"/>
  </w:style>
  <w:style w:type="character" w:customStyle="1" w:styleId="ErrorTok">
    <w:name w:val="ErrorTok"/>
    <w:basedOn w:val="VerbatimChar"/>
    <w:rsid w:val="00D63118"/>
    <w:rPr>
      <w:b/>
      <w:color w:val="FF0000"/>
    </w:rPr>
  </w:style>
  <w:style w:type="character" w:customStyle="1" w:styleId="NormalTok">
    <w:name w:val="NormalTok"/>
    <w:basedOn w:val="VerbatimChar"/>
    <w:rsid w:val="00D63118"/>
  </w:style>
  <w:style w:type="paragraph" w:customStyle="1" w:styleId="a6">
    <w:name w:val="Заголовок"/>
    <w:basedOn w:val="a0"/>
    <w:next w:val="a1"/>
    <w:rsid w:val="00D63118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D63118"/>
    <w:pPr>
      <w:spacing w:after="120"/>
    </w:pPr>
  </w:style>
  <w:style w:type="paragraph" w:styleId="a7">
    <w:name w:val="List"/>
    <w:basedOn w:val="a1"/>
    <w:rsid w:val="00D63118"/>
    <w:rPr>
      <w:rFonts w:cs="Lohit Hindi"/>
    </w:rPr>
  </w:style>
  <w:style w:type="paragraph" w:styleId="a8">
    <w:name w:val="Title"/>
    <w:basedOn w:val="a0"/>
    <w:rsid w:val="00D63118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0"/>
    <w:rsid w:val="00D63118"/>
    <w:pPr>
      <w:suppressLineNumbers/>
    </w:pPr>
    <w:rPr>
      <w:rFonts w:cs="Lohit Hindi"/>
    </w:rPr>
  </w:style>
  <w:style w:type="paragraph" w:customStyle="1" w:styleId="aa">
    <w:name w:val="Заглавие"/>
    <w:basedOn w:val="a0"/>
    <w:next w:val="ab"/>
    <w:rsid w:val="00D63118"/>
    <w:pPr>
      <w:keepNext/>
      <w:keepLines/>
      <w:spacing w:before="480" w:after="240"/>
      <w:jc w:val="center"/>
    </w:pPr>
    <w:rPr>
      <w:rFonts w:ascii="Calibri" w:hAnsi="Calibri"/>
      <w:b/>
      <w:bCs/>
      <w:color w:val="345A8A"/>
      <w:sz w:val="36"/>
      <w:szCs w:val="36"/>
    </w:rPr>
  </w:style>
  <w:style w:type="paragraph" w:styleId="ab">
    <w:name w:val="Subtitle"/>
    <w:basedOn w:val="a6"/>
    <w:next w:val="a1"/>
    <w:rsid w:val="00D63118"/>
    <w:pPr>
      <w:jc w:val="center"/>
    </w:pPr>
    <w:rPr>
      <w:i/>
      <w:iCs/>
    </w:rPr>
  </w:style>
  <w:style w:type="paragraph" w:customStyle="1" w:styleId="Authors">
    <w:name w:val="Authors"/>
    <w:rsid w:val="00D63118"/>
    <w:pPr>
      <w:keepNext/>
      <w:keepLines/>
      <w:tabs>
        <w:tab w:val="left" w:pos="720"/>
      </w:tabs>
      <w:suppressAutoHyphens/>
      <w:jc w:val="center"/>
    </w:pPr>
    <w:rPr>
      <w:rFonts w:ascii="Cambria" w:eastAsia="WenQuanYi Micro Hei" w:hAnsi="Cambria" w:cs="Cambria"/>
      <w:sz w:val="24"/>
      <w:szCs w:val="24"/>
      <w:lang w:val="en-US" w:eastAsia="en-US"/>
    </w:rPr>
  </w:style>
  <w:style w:type="paragraph" w:styleId="ac">
    <w:name w:val="Date"/>
    <w:rsid w:val="00D63118"/>
    <w:pPr>
      <w:keepNext/>
      <w:keepLines/>
      <w:tabs>
        <w:tab w:val="left" w:pos="720"/>
      </w:tabs>
      <w:suppressAutoHyphens/>
      <w:jc w:val="center"/>
    </w:pPr>
    <w:rPr>
      <w:rFonts w:ascii="Cambria" w:eastAsia="WenQuanYi Micro Hei" w:hAnsi="Cambria" w:cs="Cambria"/>
      <w:sz w:val="24"/>
      <w:szCs w:val="24"/>
      <w:lang w:val="en-US" w:eastAsia="en-US"/>
    </w:rPr>
  </w:style>
  <w:style w:type="paragraph" w:customStyle="1" w:styleId="BlockQuote">
    <w:name w:val="Block Quote"/>
    <w:basedOn w:val="a0"/>
    <w:rsid w:val="00D63118"/>
    <w:pPr>
      <w:spacing w:before="100" w:after="100"/>
    </w:pPr>
    <w:rPr>
      <w:rFonts w:ascii="Calibri" w:hAnsi="Calibri"/>
      <w:bCs/>
      <w:sz w:val="20"/>
      <w:szCs w:val="20"/>
    </w:rPr>
  </w:style>
  <w:style w:type="paragraph" w:customStyle="1" w:styleId="DefinitionTerm">
    <w:name w:val="Definition Term"/>
    <w:basedOn w:val="a0"/>
    <w:rsid w:val="00D6311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0"/>
    <w:rsid w:val="00D63118"/>
  </w:style>
  <w:style w:type="paragraph" w:customStyle="1" w:styleId="TableCaption">
    <w:name w:val="Table Caption"/>
    <w:basedOn w:val="a0"/>
    <w:rsid w:val="00D63118"/>
    <w:pPr>
      <w:spacing w:after="120"/>
    </w:pPr>
    <w:rPr>
      <w:i/>
    </w:rPr>
  </w:style>
  <w:style w:type="paragraph" w:customStyle="1" w:styleId="PictureCaption">
    <w:name w:val="Picture Caption"/>
    <w:basedOn w:val="a0"/>
    <w:rsid w:val="00D63118"/>
    <w:pPr>
      <w:spacing w:after="120"/>
    </w:pPr>
    <w:rPr>
      <w:i/>
    </w:rPr>
  </w:style>
  <w:style w:type="paragraph" w:customStyle="1" w:styleId="SourceCode">
    <w:name w:val="Source Code"/>
    <w:basedOn w:val="a0"/>
    <w:rsid w:val="00D63118"/>
  </w:style>
  <w:style w:type="paragraph" w:styleId="ad">
    <w:name w:val="Balloon Text"/>
    <w:basedOn w:val="a"/>
    <w:link w:val="ae"/>
    <w:uiPriority w:val="99"/>
    <w:semiHidden/>
    <w:unhideWhenUsed/>
    <w:rsid w:val="005D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D3082"/>
    <w:rPr>
      <w:rFonts w:ascii="Tahoma" w:hAnsi="Tahoma" w:cs="Tahoma"/>
      <w:sz w:val="16"/>
      <w:szCs w:val="16"/>
    </w:rPr>
  </w:style>
  <w:style w:type="character" w:styleId="af">
    <w:name w:val="Placeholder Text"/>
    <w:basedOn w:val="a2"/>
    <w:uiPriority w:val="99"/>
    <w:semiHidden/>
    <w:rsid w:val="005D3082"/>
    <w:rPr>
      <w:color w:val="808080"/>
    </w:rPr>
  </w:style>
  <w:style w:type="paragraph" w:styleId="af0">
    <w:name w:val="List Paragraph"/>
    <w:basedOn w:val="a"/>
    <w:uiPriority w:val="34"/>
    <w:qFormat/>
    <w:rsid w:val="00FE4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640</Words>
  <Characters>3650</Characters>
  <Application>Microsoft Office Word</Application>
  <DocSecurity>0</DocSecurity>
  <Lines>30</Lines>
  <Paragraphs>8</Paragraphs>
  <ScaleCrop>false</ScaleCrop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состояния ГЦН Калининской АЭС по данным технологического контроля.</dc:title>
  <cp:lastModifiedBy>admin</cp:lastModifiedBy>
  <cp:revision>2</cp:revision>
  <dcterms:created xsi:type="dcterms:W3CDTF">2014-03-06T13:12:00Z</dcterms:created>
  <dcterms:modified xsi:type="dcterms:W3CDTF">2014-03-11T07:40:00Z</dcterms:modified>
</cp:coreProperties>
</file>