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А.А. Лисицын студ.; рук. С.С. Шевченко старший преподаватель.</w:t>
      </w:r>
    </w:p>
    <w:p w:rsidP="00000000" w:rsidRPr="00000000" w:rsidR="00000000" w:rsidDel="00000000" w:rsidRDefault="00000000">
      <w:pPr>
        <w:ind w:firstLine="0"/>
        <w:contextualSpacing w:val="0"/>
        <w:jc w:val="right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(НГТУ, г.Новосибирск)</w:t>
      </w:r>
    </w:p>
    <w:p w:rsidP="00000000" w:rsidRPr="00000000" w:rsidR="00000000" w:rsidDel="00000000" w:rsidRDefault="00000000">
      <w:pPr>
        <w:ind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КАЧЕСТВО ЭЛЕКТРОЭНЕРГИИ В ВЫСОКОВОЛЬТНОЙ ЭНЕРГЕТИКЕ.</w:t>
      </w:r>
    </w:p>
    <w:p w:rsidP="00000000" w:rsidRPr="00000000" w:rsidR="00000000" w:rsidDel="00000000" w:rsidRDefault="00000000">
      <w:pPr>
        <w:ind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27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Нессиметрия напряжений - неравенство фазных и междуфазных напряжений во всех элементах сети, вызванное несимментрией токов. В высоковольтных сетях нессиметрия может возникать, например, от работы тяговых подстанций.</w:t>
      </w:r>
    </w:p>
    <w:p w:rsidP="00000000" w:rsidRPr="00000000" w:rsidR="00000000" w:rsidDel="00000000" w:rsidRDefault="00000000">
      <w:pPr>
        <w:ind w:firstLine="27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Целью данной работы является исследование качества электрической энергии и создание лабораторного стенда для студентов, позволяющего изучать показатели качества и методы приведения их к норме.</w:t>
      </w:r>
    </w:p>
    <w:p w:rsidP="00000000" w:rsidRPr="00000000" w:rsidR="00000000" w:rsidDel="00000000" w:rsidRDefault="00000000">
      <w:pPr>
        <w:ind w:firstLine="27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Учебный стенд определяет показатели качества в сети напряжения 220 В. Согласно ГОСТ Р 54149-2010. наивысшей измеряемой гармоникой является 40я, т.е. 2000 Гц. Таким образом для стенда можно использовать низкоскоростной аналого-цифровой преобразователь, например, как в звуковых платах персональных компьютеров.</w:t>
      </w:r>
    </w:p>
    <w:p w:rsidP="00000000" w:rsidRPr="00000000" w:rsidR="00000000" w:rsidDel="00000000" w:rsidRDefault="00000000">
      <w:pPr>
        <w:ind w:firstLine="27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Управление измерительным комплексом осуществляется с помощью программного пакета LabVIEW, легко позволяющего работать с цифровыми устройствами. Фрагмент программного кода, позволяющего считывать напряжение сети приведен на рисунке 1.</w:t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1905000" cx="3467100"/>
            <wp:effectExtent t="0" b="0" r="0" l="0"/>
            <wp:docPr id="1" name="image01.jpg" descr="123.JPG"/>
            <a:graphic>
              <a:graphicData uri="http://schemas.openxmlformats.org/drawingml/2006/picture">
                <pic:pic>
                  <pic:nvPicPr>
                    <pic:cNvPr id="0" name="image01.jpg" descr="123.JPG"/>
                    <pic:cNvPicPr preferRelativeResize="0"/>
                  </pic:nvPicPr>
                  <pic:blipFill>
                    <a:blip r:embed="rId5"/>
                    <a:srcRect t="17490" b="6463" r="2702" l="7862"/>
                    <a:stretch>
                      <a:fillRect/>
                    </a:stretch>
                  </pic:blipFill>
                  <pic:spPr>
                    <a:xfrm>
                      <a:off y="0" x="0"/>
                      <a:ext cy="1905000" cx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Рисунок 1. Пример кода в программе LabWive.</w:t>
      </w:r>
    </w:p>
    <w:p w:rsidP="00000000" w:rsidRPr="00000000" w:rsidR="00000000" w:rsidDel="00000000" w:rsidRDefault="00000000">
      <w:pPr>
        <w:ind w:firstLine="27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На стенде также можно опробовать различные методы по улучшению показателей качества электрической энергии. Внешний вид стенда показан на рисунке 2.</w:t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2162175" cx="3133725"/>
            <wp:effectExtent t="0" b="0" r="0" l="0"/>
            <wp:docPr id="2" name="image03.jpg" descr="IMAG2383.jpg"/>
            <a:graphic>
              <a:graphicData uri="http://schemas.openxmlformats.org/drawingml/2006/picture">
                <pic:pic>
                  <pic:nvPicPr>
                    <pic:cNvPr id="0" name="image03.jpg" descr="IMAG2383.jpg"/>
                    <pic:cNvPicPr preferRelativeResize="0"/>
                  </pic:nvPicPr>
                  <pic:blipFill>
                    <a:blip r:embed="rId6"/>
                    <a:srcRect t="0" b="6967" r="14373" l="4921"/>
                    <a:stretch>
                      <a:fillRect/>
                    </a:stretch>
                  </pic:blipFill>
                  <pic:spPr>
                    <a:xfrm>
                      <a:off y="0" x="0"/>
                      <a:ext cy="2162175" cx="313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Рисунок 2. Лицевая сторона стенда.</w:t>
      </w:r>
    </w:p>
    <w:sectPr>
      <w:pgSz w:w="8391" w:h="11906"/>
      <w:pgMar w:left="1134" w:right="1134" w:top="1134" w:bottom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3.jpg" Type="http://schemas.openxmlformats.org/officeDocument/2006/relationships/image" Id="rId6"/><Relationship Target="media/image01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на конференцию в Иваново (2014-04-21)..docx</dc:title>
</cp:coreProperties>
</file>