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1" w:rsidRDefault="00383C10" w:rsidP="00DF52B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А.Н. </w:t>
      </w:r>
      <w:r w:rsidR="00DF52B1" w:rsidRPr="00DF52B1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авлова, к.э.н. Гуманитарный институт филиала Северного Арктического федерального университета в г. Северодвинске</w:t>
      </w:r>
    </w:p>
    <w:p w:rsidR="00383C10" w:rsidRDefault="00383C10" w:rsidP="00DF52B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(г. Северодвинск Архангельская область)</w:t>
      </w:r>
    </w:p>
    <w:p w:rsidR="00DF52B1" w:rsidRPr="00DF52B1" w:rsidRDefault="00DF52B1" w:rsidP="00DF52B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79B3" w:rsidRDefault="004D1B43" w:rsidP="0048509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383C10">
        <w:rPr>
          <w:rFonts w:ascii="Times New Roman" w:hAnsi="Times New Roman" w:cs="Times New Roman"/>
          <w:b/>
          <w:smallCaps/>
          <w:sz w:val="24"/>
          <w:szCs w:val="28"/>
        </w:rPr>
        <w:t>Анализ</w:t>
      </w:r>
      <w:r w:rsidR="0048509D" w:rsidRPr="00383C10">
        <w:rPr>
          <w:rFonts w:ascii="Times New Roman" w:hAnsi="Times New Roman" w:cs="Times New Roman"/>
          <w:b/>
          <w:smallCaps/>
          <w:sz w:val="24"/>
          <w:szCs w:val="28"/>
        </w:rPr>
        <w:t xml:space="preserve"> </w:t>
      </w:r>
      <w:r w:rsidRPr="00383C10">
        <w:rPr>
          <w:rFonts w:ascii="Times New Roman" w:hAnsi="Times New Roman" w:cs="Times New Roman"/>
          <w:b/>
          <w:smallCaps/>
          <w:sz w:val="24"/>
          <w:szCs w:val="28"/>
        </w:rPr>
        <w:t>тенденций изменения численности населения</w:t>
      </w:r>
      <w:r w:rsidR="0048509D" w:rsidRPr="00383C10">
        <w:rPr>
          <w:rFonts w:ascii="Times New Roman" w:hAnsi="Times New Roman" w:cs="Times New Roman"/>
          <w:b/>
          <w:smallCaps/>
          <w:sz w:val="24"/>
          <w:szCs w:val="28"/>
        </w:rPr>
        <w:t xml:space="preserve"> пред-арктических территорий</w:t>
      </w:r>
    </w:p>
    <w:p w:rsidR="00383C10" w:rsidRPr="00383C10" w:rsidRDefault="00383C10" w:rsidP="0048509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</w:p>
    <w:p w:rsidR="0048509D" w:rsidRPr="00383C10" w:rsidRDefault="00192E80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>Современная мировая экономика представлена национальными экономиками государств. Структура и динамика развития экономики каждой страны определяется географией регионов, природно-климатическими факторами, местом в международном разделении труда, ресурсной обеспеченностью, геополитическими и геоэкономическими интересами</w:t>
      </w:r>
      <w:r w:rsidR="00186697" w:rsidRPr="00186697">
        <w:rPr>
          <w:rFonts w:ascii="Times New Roman" w:hAnsi="Times New Roman" w:cs="Times New Roman"/>
          <w:sz w:val="20"/>
          <w:szCs w:val="20"/>
        </w:rPr>
        <w:t xml:space="preserve"> [</w:t>
      </w:r>
      <w:r w:rsidR="00186697">
        <w:rPr>
          <w:rFonts w:ascii="Times New Roman" w:hAnsi="Times New Roman" w:cs="Times New Roman"/>
          <w:sz w:val="20"/>
          <w:szCs w:val="20"/>
        </w:rPr>
        <w:t>1</w:t>
      </w:r>
      <w:r w:rsidR="00186697" w:rsidRPr="00186697">
        <w:rPr>
          <w:rFonts w:ascii="Times New Roman" w:hAnsi="Times New Roman" w:cs="Times New Roman"/>
          <w:sz w:val="20"/>
          <w:szCs w:val="20"/>
        </w:rPr>
        <w:t>]</w:t>
      </w:r>
      <w:r w:rsidRPr="00383C10">
        <w:rPr>
          <w:rFonts w:ascii="Times New Roman" w:hAnsi="Times New Roman" w:cs="Times New Roman"/>
          <w:sz w:val="20"/>
          <w:szCs w:val="20"/>
        </w:rPr>
        <w:t>.</w:t>
      </w:r>
      <w:r w:rsidR="001155C7">
        <w:rPr>
          <w:rFonts w:ascii="Times New Roman" w:hAnsi="Times New Roman" w:cs="Times New Roman"/>
          <w:sz w:val="20"/>
          <w:szCs w:val="20"/>
        </w:rPr>
        <w:t xml:space="preserve"> Одним из важных факторов развития территории является </w:t>
      </w:r>
      <w:r w:rsidR="001155C7">
        <w:rPr>
          <w:rFonts w:ascii="Times New Roman" w:hAnsi="Times New Roman" w:cs="Times New Roman"/>
          <w:sz w:val="20"/>
          <w:szCs w:val="20"/>
        </w:rPr>
        <w:t>динамика</w:t>
      </w:r>
      <w:r w:rsidR="001155C7">
        <w:rPr>
          <w:rFonts w:ascii="Times New Roman" w:hAnsi="Times New Roman" w:cs="Times New Roman"/>
          <w:sz w:val="20"/>
          <w:szCs w:val="20"/>
        </w:rPr>
        <w:t xml:space="preserve"> изменения численности населения. Популяция населения говорит о повышении качества жизни местного населения, в то время как депопуляция характеризует обратную тенденцию.</w:t>
      </w:r>
    </w:p>
    <w:p w:rsidR="00CB2E8B" w:rsidRPr="00383C10" w:rsidRDefault="001155C7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D1B43" w:rsidRPr="00383C10">
        <w:rPr>
          <w:rFonts w:ascii="Times New Roman" w:hAnsi="Times New Roman" w:cs="Times New Roman"/>
          <w:sz w:val="20"/>
          <w:szCs w:val="20"/>
        </w:rPr>
        <w:t xml:space="preserve">рктические </w:t>
      </w:r>
      <w:r>
        <w:rPr>
          <w:rFonts w:ascii="Times New Roman" w:hAnsi="Times New Roman" w:cs="Times New Roman"/>
          <w:sz w:val="20"/>
          <w:szCs w:val="20"/>
        </w:rPr>
        <w:t xml:space="preserve">и пред-арктические </w:t>
      </w:r>
      <w:r w:rsidR="004D1B43" w:rsidRPr="00383C10">
        <w:rPr>
          <w:rFonts w:ascii="Times New Roman" w:hAnsi="Times New Roman" w:cs="Times New Roman"/>
          <w:sz w:val="20"/>
          <w:szCs w:val="20"/>
        </w:rPr>
        <w:t>территории</w:t>
      </w:r>
      <w:r w:rsidR="00192E80" w:rsidRPr="00383C10">
        <w:rPr>
          <w:rFonts w:ascii="Times New Roman" w:hAnsi="Times New Roman" w:cs="Times New Roman"/>
          <w:sz w:val="20"/>
          <w:szCs w:val="20"/>
        </w:rPr>
        <w:t xml:space="preserve"> находятся в русле этих объект</w:t>
      </w:r>
      <w:r>
        <w:rPr>
          <w:rFonts w:ascii="Times New Roman" w:hAnsi="Times New Roman" w:cs="Times New Roman"/>
          <w:sz w:val="20"/>
          <w:szCs w:val="20"/>
        </w:rPr>
        <w:t>ивных закономерностей развития.</w:t>
      </w:r>
    </w:p>
    <w:p w:rsidR="00CB2E8B" w:rsidRPr="00383C10" w:rsidRDefault="00CB2E8B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>С Арктикой граничат</w:t>
      </w:r>
      <w:r w:rsidRPr="00383C10">
        <w:rPr>
          <w:rFonts w:ascii="Times New Roman" w:hAnsi="Times New Roman" w:cs="Times New Roman"/>
          <w:sz w:val="20"/>
          <w:szCs w:val="20"/>
        </w:rPr>
        <w:t xml:space="preserve"> пять стран: Россия, Канада, США, </w:t>
      </w:r>
      <w:r w:rsidR="001155C7">
        <w:rPr>
          <w:rFonts w:ascii="Times New Roman" w:hAnsi="Times New Roman" w:cs="Times New Roman"/>
          <w:sz w:val="20"/>
          <w:szCs w:val="20"/>
        </w:rPr>
        <w:t xml:space="preserve">Норвегия и Дания </w:t>
      </w:r>
      <w:r w:rsidR="00301B74" w:rsidRPr="001155C7">
        <w:rPr>
          <w:rFonts w:ascii="Times New Roman" w:hAnsi="Times New Roman" w:cs="Times New Roman"/>
          <w:sz w:val="20"/>
          <w:szCs w:val="20"/>
        </w:rPr>
        <w:t>[</w:t>
      </w:r>
      <w:r w:rsidR="00186697">
        <w:rPr>
          <w:rFonts w:ascii="Times New Roman" w:hAnsi="Times New Roman" w:cs="Times New Roman"/>
          <w:sz w:val="20"/>
          <w:szCs w:val="20"/>
        </w:rPr>
        <w:t>3</w:t>
      </w:r>
      <w:r w:rsidR="00301B74" w:rsidRPr="001155C7">
        <w:rPr>
          <w:rFonts w:ascii="Times New Roman" w:hAnsi="Times New Roman" w:cs="Times New Roman"/>
          <w:sz w:val="20"/>
          <w:szCs w:val="20"/>
        </w:rPr>
        <w:t>]</w:t>
      </w:r>
      <w:r w:rsidRPr="00383C10">
        <w:rPr>
          <w:rFonts w:ascii="Times New Roman" w:hAnsi="Times New Roman" w:cs="Times New Roman"/>
          <w:sz w:val="20"/>
          <w:szCs w:val="20"/>
        </w:rPr>
        <w:t xml:space="preserve">. </w:t>
      </w:r>
      <w:r w:rsidRPr="00383C10">
        <w:rPr>
          <w:rFonts w:ascii="Times New Roman" w:hAnsi="Times New Roman" w:cs="Times New Roman"/>
          <w:sz w:val="20"/>
          <w:szCs w:val="20"/>
        </w:rPr>
        <w:t>Еще три государства - Исландия, Швеция и Финляндия - не имеют с Арктикой океанических гран</w:t>
      </w:r>
      <w:r w:rsidRPr="00383C10">
        <w:rPr>
          <w:rFonts w:ascii="Times New Roman" w:hAnsi="Times New Roman" w:cs="Times New Roman"/>
          <w:sz w:val="20"/>
          <w:szCs w:val="20"/>
        </w:rPr>
        <w:t>иц, однако тоже считают себя пред-</w:t>
      </w:r>
      <w:r w:rsidRPr="00383C10">
        <w:rPr>
          <w:rFonts w:ascii="Times New Roman" w:hAnsi="Times New Roman" w:cs="Times New Roman"/>
          <w:sz w:val="20"/>
          <w:szCs w:val="20"/>
        </w:rPr>
        <w:t>арктическими государствами</w:t>
      </w:r>
      <w:r w:rsidRPr="00383C10">
        <w:rPr>
          <w:rFonts w:ascii="Times New Roman" w:hAnsi="Times New Roman" w:cs="Times New Roman"/>
          <w:sz w:val="20"/>
          <w:szCs w:val="20"/>
        </w:rPr>
        <w:t xml:space="preserve"> </w:t>
      </w:r>
      <w:r w:rsidRPr="00383C10">
        <w:rPr>
          <w:rFonts w:ascii="Times New Roman" w:hAnsi="Times New Roman" w:cs="Times New Roman"/>
          <w:sz w:val="20"/>
          <w:szCs w:val="20"/>
        </w:rPr>
        <w:t>(рисунок 1).</w:t>
      </w:r>
    </w:p>
    <w:p w:rsidR="00CB2E8B" w:rsidRDefault="00CB2E8B" w:rsidP="00383C1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6EEDA83" wp14:editId="4441D0A5">
            <wp:extent cx="2261967" cy="2761203"/>
            <wp:effectExtent l="0" t="0" r="5080" b="1270"/>
            <wp:docPr id="1" name="Рисунок 1" descr="http://perevodika.ru/upload/iblock/057/1_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vodika.ru/upload/iblock/057/1_ht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33" cy="27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8B" w:rsidRPr="00383C10" w:rsidRDefault="00CB2E8B" w:rsidP="00383C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3C10">
        <w:rPr>
          <w:rFonts w:ascii="Times New Roman" w:hAnsi="Times New Roman" w:cs="Times New Roman"/>
          <w:b/>
          <w:sz w:val="16"/>
          <w:szCs w:val="16"/>
        </w:rPr>
        <w:t>Рисунок – 1. Арктика как важный геостратегический объект</w:t>
      </w:r>
    </w:p>
    <w:p w:rsidR="004D1B43" w:rsidRPr="00383C10" w:rsidRDefault="00DF52B1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>П</w:t>
      </w:r>
      <w:r w:rsidR="00192E80" w:rsidRPr="00383C10">
        <w:rPr>
          <w:rFonts w:ascii="Times New Roman" w:hAnsi="Times New Roman" w:cs="Times New Roman"/>
          <w:sz w:val="20"/>
          <w:szCs w:val="20"/>
        </w:rPr>
        <w:t>редставление о процессах, происходящих в</w:t>
      </w:r>
      <w:r w:rsidR="004D1B43" w:rsidRPr="00383C10">
        <w:rPr>
          <w:rFonts w:ascii="Times New Roman" w:hAnsi="Times New Roman" w:cs="Times New Roman"/>
          <w:sz w:val="20"/>
          <w:szCs w:val="20"/>
        </w:rPr>
        <w:t xml:space="preserve"> странах арктического региона, </w:t>
      </w:r>
      <w:r w:rsidRPr="00383C10">
        <w:rPr>
          <w:rFonts w:ascii="Times New Roman" w:hAnsi="Times New Roman" w:cs="Times New Roman"/>
          <w:sz w:val="20"/>
          <w:szCs w:val="20"/>
        </w:rPr>
        <w:t>может дать</w:t>
      </w:r>
      <w:r w:rsidR="00192E80" w:rsidRPr="00383C10">
        <w:rPr>
          <w:rFonts w:ascii="Times New Roman" w:hAnsi="Times New Roman" w:cs="Times New Roman"/>
          <w:sz w:val="20"/>
          <w:szCs w:val="20"/>
        </w:rPr>
        <w:t xml:space="preserve"> изменение демографических показателей</w:t>
      </w:r>
      <w:r w:rsidRPr="00383C10">
        <w:rPr>
          <w:rFonts w:ascii="Times New Roman" w:hAnsi="Times New Roman" w:cs="Times New Roman"/>
          <w:sz w:val="20"/>
          <w:szCs w:val="20"/>
        </w:rPr>
        <w:t>.</w:t>
      </w:r>
    </w:p>
    <w:p w:rsidR="00DF52B1" w:rsidRPr="00383C10" w:rsidRDefault="00DF52B1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>На рисунке 2 и в таблице 1 представлены с</w:t>
      </w:r>
      <w:r w:rsidRPr="00383C10">
        <w:rPr>
          <w:rFonts w:ascii="Times New Roman" w:hAnsi="Times New Roman" w:cs="Times New Roman"/>
          <w:sz w:val="20"/>
          <w:szCs w:val="20"/>
        </w:rPr>
        <w:t xml:space="preserve">реднегодовые темпы прироста </w:t>
      </w:r>
      <w:r w:rsidR="00186697" w:rsidRPr="00383C10">
        <w:rPr>
          <w:rFonts w:ascii="Times New Roman" w:hAnsi="Times New Roman" w:cs="Times New Roman"/>
          <w:sz w:val="20"/>
          <w:szCs w:val="20"/>
        </w:rPr>
        <w:t>численности,</w:t>
      </w:r>
      <w:r w:rsidRPr="00383C10">
        <w:rPr>
          <w:rFonts w:ascii="Times New Roman" w:hAnsi="Times New Roman" w:cs="Times New Roman"/>
          <w:sz w:val="20"/>
          <w:szCs w:val="20"/>
        </w:rPr>
        <w:t xml:space="preserve"> населения арктических стран</w:t>
      </w:r>
      <w:r w:rsidR="00301B74">
        <w:rPr>
          <w:rFonts w:ascii="Times New Roman" w:hAnsi="Times New Roman" w:cs="Times New Roman"/>
          <w:sz w:val="20"/>
          <w:szCs w:val="20"/>
        </w:rPr>
        <w:t xml:space="preserve"> (составлено по данным </w:t>
      </w:r>
      <w:r w:rsidR="00301B74" w:rsidRPr="00301B74">
        <w:rPr>
          <w:rFonts w:ascii="Times New Roman" w:hAnsi="Times New Roman" w:cs="Times New Roman"/>
          <w:sz w:val="20"/>
          <w:szCs w:val="20"/>
        </w:rPr>
        <w:t>[</w:t>
      </w:r>
      <w:r w:rsidR="00186697">
        <w:rPr>
          <w:rFonts w:ascii="Times New Roman" w:hAnsi="Times New Roman" w:cs="Times New Roman"/>
          <w:sz w:val="20"/>
          <w:szCs w:val="20"/>
        </w:rPr>
        <w:t>4</w:t>
      </w:r>
      <w:r w:rsidR="00301B74" w:rsidRPr="00301B74">
        <w:rPr>
          <w:rFonts w:ascii="Times New Roman" w:hAnsi="Times New Roman" w:cs="Times New Roman"/>
          <w:sz w:val="20"/>
          <w:szCs w:val="20"/>
        </w:rPr>
        <w:t>])</w:t>
      </w:r>
      <w:r w:rsidRPr="00383C10">
        <w:rPr>
          <w:rFonts w:ascii="Times New Roman" w:hAnsi="Times New Roman" w:cs="Times New Roman"/>
          <w:sz w:val="20"/>
          <w:szCs w:val="20"/>
        </w:rPr>
        <w:t>.</w:t>
      </w:r>
    </w:p>
    <w:p w:rsidR="00C16D06" w:rsidRDefault="00C16D06" w:rsidP="0038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EE29ED" wp14:editId="6ACB36B9">
            <wp:extent cx="6152515" cy="2256790"/>
            <wp:effectExtent l="0" t="0" r="1968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1B43" w:rsidRPr="00383C10" w:rsidRDefault="004D1B43" w:rsidP="00383C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3C10">
        <w:rPr>
          <w:rFonts w:ascii="Times New Roman" w:hAnsi="Times New Roman" w:cs="Times New Roman"/>
          <w:b/>
          <w:sz w:val="16"/>
          <w:szCs w:val="16"/>
        </w:rPr>
        <w:t xml:space="preserve">Рисунок 2. - </w:t>
      </w:r>
      <w:r w:rsidRPr="00383C10">
        <w:rPr>
          <w:rFonts w:ascii="Times New Roman" w:hAnsi="Times New Roman" w:cs="Times New Roman"/>
          <w:b/>
          <w:sz w:val="16"/>
          <w:szCs w:val="16"/>
        </w:rPr>
        <w:t>Среднегодовые темпы прироста численности в арктических странах</w:t>
      </w:r>
    </w:p>
    <w:p w:rsidR="00192E80" w:rsidRPr="00383C10" w:rsidRDefault="004D20AA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3C10">
        <w:rPr>
          <w:rFonts w:ascii="Times New Roman" w:hAnsi="Times New Roman" w:cs="Times New Roman"/>
          <w:b/>
          <w:sz w:val="16"/>
          <w:szCs w:val="16"/>
        </w:rPr>
        <w:t>Таблица 1.</w:t>
      </w:r>
    </w:p>
    <w:p w:rsidR="004D20AA" w:rsidRPr="00301B74" w:rsidRDefault="004D20AA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3C10">
        <w:rPr>
          <w:rFonts w:ascii="Times New Roman" w:hAnsi="Times New Roman" w:cs="Times New Roman"/>
          <w:b/>
          <w:sz w:val="16"/>
          <w:szCs w:val="16"/>
        </w:rPr>
        <w:t>Среднегодовые темпы прироста численности в арктических странах</w:t>
      </w: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1260"/>
        <w:gridCol w:w="956"/>
        <w:gridCol w:w="536"/>
        <w:gridCol w:w="536"/>
        <w:gridCol w:w="536"/>
        <w:gridCol w:w="536"/>
        <w:gridCol w:w="536"/>
        <w:gridCol w:w="536"/>
        <w:gridCol w:w="536"/>
        <w:gridCol w:w="536"/>
        <w:gridCol w:w="539"/>
        <w:gridCol w:w="536"/>
        <w:gridCol w:w="740"/>
        <w:gridCol w:w="536"/>
        <w:gridCol w:w="1288"/>
      </w:tblGrid>
      <w:tr w:rsidR="004D20AA" w:rsidRPr="004D20AA" w:rsidTr="00383C10">
        <w:trPr>
          <w:trHeight w:val="3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1901-1913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среднегодовые темпы роста</w:t>
            </w:r>
          </w:p>
        </w:tc>
      </w:tr>
      <w:tr w:rsidR="004D20AA" w:rsidRPr="004D20AA" w:rsidTr="00383C10">
        <w:trPr>
          <w:trHeight w:val="5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1,366</w:t>
            </w:r>
          </w:p>
        </w:tc>
      </w:tr>
      <w:tr w:rsidR="004D20AA" w:rsidRPr="004D20AA" w:rsidTr="00383C10">
        <w:trPr>
          <w:trHeight w:val="1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1,736</w:t>
            </w:r>
          </w:p>
        </w:tc>
      </w:tr>
      <w:tr w:rsidR="004D20AA" w:rsidRPr="004D20AA" w:rsidTr="00383C10">
        <w:trPr>
          <w:trHeight w:val="14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D20AA" w:rsidRPr="004D20AA" w:rsidTr="00383C10">
        <w:trPr>
          <w:trHeight w:val="13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D20AA" w:rsidRPr="004D20AA" w:rsidTr="00383C10">
        <w:trPr>
          <w:trHeight w:val="1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Норвегия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4D20AA" w:rsidRPr="004D20AA" w:rsidTr="00383C10">
        <w:trPr>
          <w:trHeight w:val="10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-0,651</w:t>
            </w:r>
          </w:p>
        </w:tc>
      </w:tr>
      <w:tr w:rsidR="004D20AA" w:rsidRPr="004D20AA" w:rsidTr="00383C10">
        <w:trPr>
          <w:trHeight w:val="13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0,866</w:t>
            </w:r>
          </w:p>
        </w:tc>
      </w:tr>
      <w:tr w:rsidR="004D20AA" w:rsidRPr="004D20AA" w:rsidTr="00383C10">
        <w:trPr>
          <w:trHeight w:val="16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Исландия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0AA" w:rsidRPr="00383C10" w:rsidRDefault="004D20AA" w:rsidP="003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0,841</w:t>
            </w:r>
          </w:p>
        </w:tc>
      </w:tr>
    </w:tbl>
    <w:p w:rsidR="004D20AA" w:rsidRPr="00383C10" w:rsidRDefault="004D20AA" w:rsidP="00383C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 xml:space="preserve">Анализ сведений о среднегодовых темпах прироста численности </w:t>
      </w:r>
      <w:r w:rsidR="001155C7">
        <w:rPr>
          <w:rFonts w:ascii="Times New Roman" w:hAnsi="Times New Roman" w:cs="Times New Roman"/>
          <w:sz w:val="20"/>
          <w:szCs w:val="20"/>
        </w:rPr>
        <w:t xml:space="preserve">населения </w:t>
      </w:r>
      <w:r w:rsidRPr="00383C10">
        <w:rPr>
          <w:rFonts w:ascii="Times New Roman" w:hAnsi="Times New Roman" w:cs="Times New Roman"/>
          <w:sz w:val="20"/>
          <w:szCs w:val="20"/>
        </w:rPr>
        <w:t>в арк</w:t>
      </w:r>
      <w:r w:rsidR="00383C10">
        <w:rPr>
          <w:rFonts w:ascii="Times New Roman" w:hAnsi="Times New Roman" w:cs="Times New Roman"/>
          <w:sz w:val="20"/>
          <w:szCs w:val="20"/>
        </w:rPr>
        <w:t xml:space="preserve">тических странах, позволил </w:t>
      </w:r>
      <w:r w:rsidRPr="00383C10">
        <w:rPr>
          <w:rFonts w:ascii="Times New Roman" w:hAnsi="Times New Roman" w:cs="Times New Roman"/>
          <w:sz w:val="20"/>
          <w:szCs w:val="20"/>
        </w:rPr>
        <w:t>сформулировать следующие выводы:</w:t>
      </w:r>
    </w:p>
    <w:p w:rsidR="007617B1" w:rsidRPr="00383C10" w:rsidRDefault="007617B1" w:rsidP="00383C1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 xml:space="preserve">На протяжении </w:t>
      </w:r>
      <w:r w:rsidR="00383C10">
        <w:rPr>
          <w:rFonts w:ascii="Times New Roman" w:hAnsi="Times New Roman" w:cs="Times New Roman"/>
          <w:sz w:val="20"/>
          <w:szCs w:val="20"/>
        </w:rPr>
        <w:t>всего периода Канада увеличивала</w:t>
      </w:r>
      <w:r w:rsidRPr="00383C10">
        <w:rPr>
          <w:rFonts w:ascii="Times New Roman" w:hAnsi="Times New Roman" w:cs="Times New Roman"/>
          <w:sz w:val="20"/>
          <w:szCs w:val="20"/>
        </w:rPr>
        <w:t xml:space="preserve"> прирос</w:t>
      </w:r>
      <w:r w:rsidR="00301B74">
        <w:rPr>
          <w:rFonts w:ascii="Times New Roman" w:hAnsi="Times New Roman" w:cs="Times New Roman"/>
          <w:sz w:val="20"/>
          <w:szCs w:val="20"/>
        </w:rPr>
        <w:t>т</w:t>
      </w:r>
      <w:r w:rsidRPr="00383C10">
        <w:rPr>
          <w:rFonts w:ascii="Times New Roman" w:hAnsi="Times New Roman" w:cs="Times New Roman"/>
          <w:sz w:val="20"/>
          <w:szCs w:val="20"/>
        </w:rPr>
        <w:t xml:space="preserve"> численности населения, США за исключением </w:t>
      </w:r>
      <w:r w:rsidR="00383C10">
        <w:rPr>
          <w:rFonts w:ascii="Times New Roman" w:hAnsi="Times New Roman" w:cs="Times New Roman"/>
          <w:sz w:val="20"/>
          <w:szCs w:val="20"/>
        </w:rPr>
        <w:t>1938 и 2010 года также наращивала</w:t>
      </w:r>
      <w:r w:rsidRPr="00383C10">
        <w:rPr>
          <w:rFonts w:ascii="Times New Roman" w:hAnsi="Times New Roman" w:cs="Times New Roman"/>
          <w:sz w:val="20"/>
          <w:szCs w:val="20"/>
        </w:rPr>
        <w:t xml:space="preserve"> скорость </w:t>
      </w:r>
      <w:r w:rsidR="00383C10">
        <w:rPr>
          <w:rFonts w:ascii="Times New Roman" w:hAnsi="Times New Roman" w:cs="Times New Roman"/>
          <w:sz w:val="20"/>
          <w:szCs w:val="20"/>
        </w:rPr>
        <w:t xml:space="preserve">роста </w:t>
      </w:r>
      <w:r w:rsidR="001155C7">
        <w:rPr>
          <w:rFonts w:ascii="Times New Roman" w:hAnsi="Times New Roman" w:cs="Times New Roman"/>
          <w:sz w:val="20"/>
          <w:szCs w:val="20"/>
        </w:rPr>
        <w:t>численности.</w:t>
      </w:r>
    </w:p>
    <w:p w:rsidR="004D20AA" w:rsidRPr="00383C10" w:rsidRDefault="007617B1" w:rsidP="00383C1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>Страны Арктики (и даже Швеция, за ис</w:t>
      </w:r>
      <w:r w:rsidR="00383C10">
        <w:rPr>
          <w:rFonts w:ascii="Times New Roman" w:hAnsi="Times New Roman" w:cs="Times New Roman"/>
          <w:sz w:val="20"/>
          <w:szCs w:val="20"/>
        </w:rPr>
        <w:t>ключением 2000 года) увеличивали</w:t>
      </w:r>
      <w:r w:rsidRPr="00383C10">
        <w:rPr>
          <w:rFonts w:ascii="Times New Roman" w:hAnsi="Times New Roman" w:cs="Times New Roman"/>
          <w:sz w:val="20"/>
          <w:szCs w:val="20"/>
        </w:rPr>
        <w:t xml:space="preserve"> скорость роста численности населения. </w:t>
      </w:r>
      <w:r w:rsidR="001155C7">
        <w:rPr>
          <w:rFonts w:ascii="Times New Roman" w:hAnsi="Times New Roman" w:cs="Times New Roman"/>
          <w:sz w:val="20"/>
          <w:szCs w:val="20"/>
        </w:rPr>
        <w:t xml:space="preserve">Не смотря на </w:t>
      </w:r>
      <w:proofErr w:type="gramStart"/>
      <w:r w:rsidR="001155C7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="001155C7">
        <w:rPr>
          <w:rFonts w:ascii="Times New Roman" w:hAnsi="Times New Roman" w:cs="Times New Roman"/>
          <w:sz w:val="20"/>
          <w:szCs w:val="20"/>
        </w:rPr>
        <w:t xml:space="preserve"> что </w:t>
      </w:r>
      <w:r w:rsidRPr="00383C10">
        <w:rPr>
          <w:rFonts w:ascii="Times New Roman" w:hAnsi="Times New Roman" w:cs="Times New Roman"/>
          <w:sz w:val="20"/>
          <w:szCs w:val="20"/>
        </w:rPr>
        <w:t xml:space="preserve">среднегодовая скорость </w:t>
      </w:r>
      <w:r w:rsidR="001155C7">
        <w:rPr>
          <w:rFonts w:ascii="Times New Roman" w:hAnsi="Times New Roman" w:cs="Times New Roman"/>
          <w:sz w:val="20"/>
          <w:szCs w:val="20"/>
        </w:rPr>
        <w:t xml:space="preserve">рассматриваемого показателя очень мала, </w:t>
      </w:r>
      <w:r w:rsidRPr="00383C10">
        <w:rPr>
          <w:rFonts w:ascii="Times New Roman" w:hAnsi="Times New Roman" w:cs="Times New Roman"/>
          <w:sz w:val="20"/>
          <w:szCs w:val="20"/>
        </w:rPr>
        <w:t>сам факт популяции населения арктических территорий говорит об увеличении активности её освоения.</w:t>
      </w:r>
    </w:p>
    <w:p w:rsidR="007617B1" w:rsidRDefault="007617B1" w:rsidP="00383C1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83C10">
        <w:rPr>
          <w:rFonts w:ascii="Times New Roman" w:hAnsi="Times New Roman" w:cs="Times New Roman"/>
          <w:sz w:val="20"/>
          <w:szCs w:val="20"/>
        </w:rPr>
        <w:t xml:space="preserve">Россия </w:t>
      </w:r>
      <w:r w:rsidR="001155C7">
        <w:rPr>
          <w:rFonts w:ascii="Times New Roman" w:hAnsi="Times New Roman" w:cs="Times New Roman"/>
          <w:sz w:val="20"/>
          <w:szCs w:val="20"/>
        </w:rPr>
        <w:t>является на сегодняшний день, практически единственной страной</w:t>
      </w:r>
      <w:bookmarkStart w:id="0" w:name="_GoBack"/>
      <w:bookmarkEnd w:id="0"/>
      <w:r w:rsidR="001155C7">
        <w:rPr>
          <w:rFonts w:ascii="Times New Roman" w:hAnsi="Times New Roman" w:cs="Times New Roman"/>
          <w:sz w:val="20"/>
          <w:szCs w:val="20"/>
        </w:rPr>
        <w:t>,</w:t>
      </w:r>
      <w:r w:rsidRPr="00383C10">
        <w:rPr>
          <w:rFonts w:ascii="Times New Roman" w:hAnsi="Times New Roman" w:cs="Times New Roman"/>
          <w:sz w:val="20"/>
          <w:szCs w:val="20"/>
        </w:rPr>
        <w:t xml:space="preserve"> в которой происходит депопуляция численности населения. Если сравнивать данную тенденцию с демографической историей США, то можно констатировать совершенно противоположную картину.</w:t>
      </w:r>
    </w:p>
    <w:p w:rsidR="00301B74" w:rsidRDefault="00301B74" w:rsidP="00301B74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Поскольку, в настоящее время, освоение арктических и пред-арктических территорий является одним из </w:t>
      </w:r>
      <w:r w:rsidRPr="00186697">
        <w:rPr>
          <w:rFonts w:ascii="Times New Roman" w:hAnsi="Times New Roman" w:cs="Times New Roman"/>
          <w:sz w:val="20"/>
          <w:szCs w:val="20"/>
        </w:rPr>
        <w:t>приоритетных направления развития экономики России [</w:t>
      </w:r>
      <w:r w:rsidR="00186697">
        <w:rPr>
          <w:rFonts w:ascii="Times New Roman" w:hAnsi="Times New Roman" w:cs="Times New Roman"/>
          <w:sz w:val="20"/>
          <w:szCs w:val="20"/>
        </w:rPr>
        <w:t>2</w:t>
      </w:r>
      <w:r w:rsidRPr="00186697">
        <w:rPr>
          <w:rFonts w:ascii="Times New Roman" w:hAnsi="Times New Roman" w:cs="Times New Roman"/>
          <w:sz w:val="20"/>
          <w:szCs w:val="20"/>
        </w:rPr>
        <w:t xml:space="preserve">], одним из путей решения данной задачи является разработка программ, направленных на повышение качества жизни местного населения, а также создание </w:t>
      </w:r>
      <w:r w:rsidRPr="00186697">
        <w:rPr>
          <w:rFonts w:ascii="Times New Roman" w:hAnsi="Times New Roman" w:cs="Times New Roman"/>
          <w:sz w:val="20"/>
          <w:szCs w:val="20"/>
        </w:rPr>
        <w:t>условий</w:t>
      </w:r>
      <w:r w:rsidRPr="00186697">
        <w:rPr>
          <w:rFonts w:ascii="Times New Roman" w:hAnsi="Times New Roman" w:cs="Times New Roman"/>
          <w:sz w:val="20"/>
          <w:szCs w:val="20"/>
        </w:rPr>
        <w:t xml:space="preserve"> для п</w:t>
      </w:r>
      <w:r w:rsidR="0082777D">
        <w:rPr>
          <w:rFonts w:ascii="Times New Roman" w:hAnsi="Times New Roman" w:cs="Times New Roman"/>
          <w:sz w:val="20"/>
          <w:szCs w:val="20"/>
        </w:rPr>
        <w:t>ривлечения населения на</w:t>
      </w:r>
      <w:r w:rsidRPr="00186697">
        <w:rPr>
          <w:rFonts w:ascii="Times New Roman" w:hAnsi="Times New Roman" w:cs="Times New Roman"/>
          <w:sz w:val="20"/>
          <w:szCs w:val="20"/>
        </w:rPr>
        <w:t xml:space="preserve"> </w:t>
      </w:r>
      <w:r w:rsidR="00186697">
        <w:rPr>
          <w:rFonts w:ascii="Times New Roman" w:hAnsi="Times New Roman" w:cs="Times New Roman"/>
          <w:sz w:val="20"/>
          <w:szCs w:val="20"/>
        </w:rPr>
        <w:t>ос</w:t>
      </w:r>
      <w:r w:rsidR="00186697" w:rsidRPr="00186697">
        <w:rPr>
          <w:rFonts w:ascii="Times New Roman" w:hAnsi="Times New Roman" w:cs="Times New Roman"/>
          <w:sz w:val="20"/>
          <w:szCs w:val="20"/>
        </w:rPr>
        <w:t>ваива</w:t>
      </w:r>
      <w:r w:rsidR="00186697">
        <w:rPr>
          <w:rFonts w:ascii="Times New Roman" w:hAnsi="Times New Roman" w:cs="Times New Roman"/>
          <w:sz w:val="20"/>
          <w:szCs w:val="20"/>
        </w:rPr>
        <w:t>ем</w:t>
      </w:r>
      <w:r w:rsidR="00186697" w:rsidRPr="00186697">
        <w:rPr>
          <w:rFonts w:ascii="Times New Roman" w:hAnsi="Times New Roman" w:cs="Times New Roman"/>
          <w:sz w:val="20"/>
          <w:szCs w:val="20"/>
        </w:rPr>
        <w:t>ы</w:t>
      </w:r>
      <w:r w:rsidR="00186697">
        <w:rPr>
          <w:rFonts w:ascii="Times New Roman" w:hAnsi="Times New Roman" w:cs="Times New Roman"/>
          <w:sz w:val="20"/>
          <w:szCs w:val="20"/>
        </w:rPr>
        <w:t>е</w:t>
      </w:r>
      <w:r w:rsidRPr="00186697">
        <w:rPr>
          <w:rFonts w:ascii="Times New Roman" w:hAnsi="Times New Roman" w:cs="Times New Roman"/>
          <w:sz w:val="20"/>
          <w:szCs w:val="20"/>
        </w:rPr>
        <w:t xml:space="preserve"> территории.</w:t>
      </w:r>
    </w:p>
    <w:p w:rsidR="00186697" w:rsidRDefault="00186697" w:rsidP="00301B74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86697" w:rsidRDefault="00186697" w:rsidP="00186697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Библиографический список</w:t>
      </w:r>
    </w:p>
    <w:p w:rsidR="00186697" w:rsidRPr="00186697" w:rsidRDefault="00186697" w:rsidP="00186697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186697" w:rsidRPr="00186697" w:rsidRDefault="00186697" w:rsidP="001866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186697">
        <w:rPr>
          <w:rFonts w:ascii="Times New Roman" w:hAnsi="Times New Roman" w:cs="Times New Roman"/>
          <w:sz w:val="16"/>
          <w:szCs w:val="16"/>
          <w:lang w:eastAsia="ru-RU"/>
        </w:rPr>
        <w:t>Залывский</w:t>
      </w:r>
      <w:proofErr w:type="spellEnd"/>
      <w:r w:rsidRPr="00186697">
        <w:rPr>
          <w:rFonts w:ascii="Times New Roman" w:hAnsi="Times New Roman" w:cs="Times New Roman"/>
          <w:sz w:val="16"/>
          <w:szCs w:val="16"/>
          <w:lang w:eastAsia="ru-RU"/>
        </w:rPr>
        <w:t xml:space="preserve"> Н. П. Экономика арктических стран: учебное пособие /под ред. Н. П. </w:t>
      </w:r>
      <w:proofErr w:type="spellStart"/>
      <w:r w:rsidRPr="00186697">
        <w:rPr>
          <w:rFonts w:ascii="Times New Roman" w:hAnsi="Times New Roman" w:cs="Times New Roman"/>
          <w:sz w:val="16"/>
          <w:szCs w:val="16"/>
          <w:lang w:eastAsia="ru-RU"/>
        </w:rPr>
        <w:t>Залывского</w:t>
      </w:r>
      <w:proofErr w:type="spellEnd"/>
      <w:r w:rsidRPr="00186697">
        <w:rPr>
          <w:rFonts w:ascii="Times New Roman" w:hAnsi="Times New Roman" w:cs="Times New Roman"/>
          <w:sz w:val="16"/>
          <w:szCs w:val="16"/>
          <w:lang w:eastAsia="ru-RU"/>
        </w:rPr>
        <w:t>. — Архангельск: ИПЦ САФ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У им. М. В. Ломоносова, 2012. — </w:t>
      </w:r>
      <w:r w:rsidRPr="00186697">
        <w:rPr>
          <w:rFonts w:ascii="Times New Roman" w:hAnsi="Times New Roman" w:cs="Times New Roman"/>
          <w:sz w:val="16"/>
          <w:szCs w:val="16"/>
          <w:lang w:eastAsia="ru-RU"/>
        </w:rPr>
        <w:t>66с.</w:t>
      </w:r>
    </w:p>
    <w:p w:rsidR="00186697" w:rsidRPr="00186697" w:rsidRDefault="00186697" w:rsidP="001866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86697">
        <w:rPr>
          <w:rStyle w:val="rvts382"/>
          <w:rFonts w:ascii="Times New Roman" w:hAnsi="Times New Roman" w:cs="Times New Roman"/>
          <w:bCs/>
          <w:color w:val="000000"/>
          <w:sz w:val="16"/>
          <w:szCs w:val="16"/>
        </w:rPr>
        <w:t>Стратегия</w:t>
      </w:r>
      <w:r w:rsidRPr="00186697">
        <w:rPr>
          <w:rStyle w:val="apple-converted-space"/>
          <w:rFonts w:ascii="Times New Roman" w:hAnsi="Times New Roman" w:cs="Times New Roman"/>
          <w:color w:val="5E6466"/>
          <w:sz w:val="16"/>
          <w:szCs w:val="16"/>
        </w:rPr>
        <w:t> </w:t>
      </w:r>
      <w:r w:rsidRPr="00186697">
        <w:rPr>
          <w:rStyle w:val="rvts382"/>
          <w:rFonts w:ascii="Times New Roman" w:hAnsi="Times New Roman" w:cs="Times New Roman"/>
          <w:bCs/>
          <w:color w:val="000000"/>
          <w:sz w:val="16"/>
          <w:szCs w:val="16"/>
        </w:rPr>
        <w:t>развития Арктической зоны Российской Федерации и обеспечения национальной безопасности</w:t>
      </w:r>
      <w:r w:rsidRPr="00186697">
        <w:rPr>
          <w:rStyle w:val="apple-converted-space"/>
          <w:rFonts w:ascii="Times New Roman" w:hAnsi="Times New Roman" w:cs="Times New Roman"/>
          <w:color w:val="5E6466"/>
          <w:sz w:val="16"/>
          <w:szCs w:val="16"/>
        </w:rPr>
        <w:t> </w:t>
      </w:r>
      <w:r w:rsidRPr="00186697">
        <w:rPr>
          <w:rStyle w:val="rvts382"/>
          <w:rFonts w:ascii="Times New Roman" w:hAnsi="Times New Roman" w:cs="Times New Roman"/>
          <w:bCs/>
          <w:color w:val="000000"/>
          <w:sz w:val="16"/>
          <w:szCs w:val="16"/>
        </w:rPr>
        <w:t>на период до 2020 год</w:t>
      </w:r>
    </w:p>
    <w:p w:rsidR="00186697" w:rsidRPr="00186697" w:rsidRDefault="00186697" w:rsidP="001866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Международно-правовой статус Арктики </w:t>
      </w:r>
      <w:r w:rsidRPr="00186697">
        <w:rPr>
          <w:rFonts w:ascii="Times New Roman" w:hAnsi="Times New Roman" w:cs="Times New Roman"/>
          <w:sz w:val="16"/>
          <w:szCs w:val="16"/>
          <w:lang w:eastAsia="ru-RU"/>
        </w:rPr>
        <w:t>[</w:t>
      </w:r>
      <w:r>
        <w:rPr>
          <w:rFonts w:ascii="Times New Roman" w:hAnsi="Times New Roman" w:cs="Times New Roman"/>
          <w:sz w:val="16"/>
          <w:szCs w:val="16"/>
          <w:lang w:eastAsia="ru-RU"/>
        </w:rPr>
        <w:t>электронный ресурс</w:t>
      </w:r>
      <w:r w:rsidRPr="00186697">
        <w:rPr>
          <w:rFonts w:ascii="Times New Roman" w:hAnsi="Times New Roman" w:cs="Times New Roman"/>
          <w:sz w:val="16"/>
          <w:szCs w:val="16"/>
          <w:lang w:eastAsia="ru-RU"/>
        </w:rPr>
        <w:t>]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hyperlink r:id="rId8" w:history="1">
        <w:r w:rsidR="00301B74" w:rsidRPr="00186697">
          <w:rPr>
            <w:rFonts w:ascii="Times New Roman" w:hAnsi="Times New Roman" w:cs="Times New Roman"/>
            <w:sz w:val="16"/>
            <w:szCs w:val="16"/>
            <w:lang w:eastAsia="ru-RU"/>
          </w:rPr>
          <w:t>http://tass.ru/info/895685</w:t>
        </w:r>
      </w:hyperlink>
    </w:p>
    <w:p w:rsidR="004D20AA" w:rsidRPr="00186697" w:rsidRDefault="00186697" w:rsidP="001866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Федеральная служба государственной статистики </w:t>
      </w:r>
      <w:r w:rsidRPr="00186697">
        <w:rPr>
          <w:rFonts w:ascii="Times New Roman" w:hAnsi="Times New Roman" w:cs="Times New Roman"/>
          <w:sz w:val="16"/>
          <w:szCs w:val="16"/>
          <w:lang w:eastAsia="ru-RU"/>
        </w:rPr>
        <w:t>[</w:t>
      </w:r>
      <w:r>
        <w:rPr>
          <w:rFonts w:ascii="Times New Roman" w:hAnsi="Times New Roman" w:cs="Times New Roman"/>
          <w:sz w:val="16"/>
          <w:szCs w:val="16"/>
          <w:lang w:eastAsia="ru-RU"/>
        </w:rPr>
        <w:t>электронный ресурс</w:t>
      </w:r>
      <w:r w:rsidRPr="00186697">
        <w:rPr>
          <w:rFonts w:ascii="Times New Roman" w:hAnsi="Times New Roman" w:cs="Times New Roman"/>
          <w:sz w:val="16"/>
          <w:szCs w:val="16"/>
          <w:lang w:eastAsia="ru-RU"/>
        </w:rPr>
        <w:t>]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186697">
          <w:rPr>
            <w:rFonts w:ascii="Times New Roman" w:hAnsi="Times New Roman" w:cs="Times New Roman"/>
            <w:sz w:val="16"/>
            <w:szCs w:val="16"/>
            <w:lang w:eastAsia="ru-RU"/>
          </w:rPr>
          <w:t>http://www.gks.ru</w:t>
        </w:r>
      </w:hyperlink>
    </w:p>
    <w:sectPr w:rsidR="004D20AA" w:rsidRPr="00186697" w:rsidSect="00DF52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0FF"/>
    <w:multiLevelType w:val="multilevel"/>
    <w:tmpl w:val="20C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27E4A"/>
    <w:multiLevelType w:val="hybridMultilevel"/>
    <w:tmpl w:val="DFBE2022"/>
    <w:lvl w:ilvl="0" w:tplc="6336A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57DD6"/>
    <w:multiLevelType w:val="hybridMultilevel"/>
    <w:tmpl w:val="B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5"/>
    <w:rsid w:val="001155C7"/>
    <w:rsid w:val="00186697"/>
    <w:rsid w:val="00192E80"/>
    <w:rsid w:val="00301B74"/>
    <w:rsid w:val="00383C10"/>
    <w:rsid w:val="00423592"/>
    <w:rsid w:val="0048509D"/>
    <w:rsid w:val="004D1B43"/>
    <w:rsid w:val="004D20AA"/>
    <w:rsid w:val="004E2CDE"/>
    <w:rsid w:val="00636D7A"/>
    <w:rsid w:val="00651C4D"/>
    <w:rsid w:val="007617B1"/>
    <w:rsid w:val="00814D55"/>
    <w:rsid w:val="0082777D"/>
    <w:rsid w:val="00C16D06"/>
    <w:rsid w:val="00C43077"/>
    <w:rsid w:val="00CB2E8B"/>
    <w:rsid w:val="00DF52B1"/>
    <w:rsid w:val="00F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1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6697"/>
  </w:style>
  <w:style w:type="character" w:customStyle="1" w:styleId="rvts382">
    <w:name w:val="rvts382"/>
    <w:basedOn w:val="a0"/>
    <w:rsid w:val="0018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1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6697"/>
  </w:style>
  <w:style w:type="character" w:customStyle="1" w:styleId="rvts382">
    <w:name w:val="rvts382"/>
    <w:basedOn w:val="a0"/>
    <w:rsid w:val="001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info/895685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40;&#1059;&#1050;&#1040;\2015\&#1044;&#1054;&#1050;&#1058;&#1054;&#1056;&#1057;&#1050;&#1040;&#1071;\&#1089;&#1090;&#1072;&#1090;&#1100;&#1103;%20&#1048;&#1074;&#1072;&#1085;&#1086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ru-RU" sz="1000" b="0"/>
              <a:t>Среднегодовые темпы прироста численности населения арктических стран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Лист2!$A$13</c:f>
              <c:strCache>
                <c:ptCount val="1"/>
                <c:pt idx="0">
                  <c:v>США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Лист2!$B$13:$N$13</c:f>
              <c:numCache>
                <c:formatCode>General</c:formatCode>
                <c:ptCount val="13"/>
                <c:pt idx="0">
                  <c:v>1.9</c:v>
                </c:pt>
                <c:pt idx="1">
                  <c:v>1.4</c:v>
                </c:pt>
                <c:pt idx="2">
                  <c:v>0.7</c:v>
                </c:pt>
                <c:pt idx="3">
                  <c:v>1.3</c:v>
                </c:pt>
                <c:pt idx="4">
                  <c:v>1.4</c:v>
                </c:pt>
                <c:pt idx="5">
                  <c:v>1.3</c:v>
                </c:pt>
                <c:pt idx="6">
                  <c:v>1.2</c:v>
                </c:pt>
                <c:pt idx="7">
                  <c:v>0.8</c:v>
                </c:pt>
                <c:pt idx="8">
                  <c:v>5.9</c:v>
                </c:pt>
                <c:pt idx="9">
                  <c:v>5.7</c:v>
                </c:pt>
                <c:pt idx="10" formatCode="0.0">
                  <c:v>0.65146579804560645</c:v>
                </c:pt>
                <c:pt idx="11">
                  <c:v>0.97</c:v>
                </c:pt>
                <c:pt idx="12" formatCode="0.00">
                  <c:v>0.6410256410256352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Канада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Лист2!$B$14:$N$14</c:f>
              <c:numCache>
                <c:formatCode>General</c:formatCode>
                <c:ptCount val="13"/>
                <c:pt idx="0">
                  <c:v>2.9</c:v>
                </c:pt>
                <c:pt idx="1">
                  <c:v>1.8</c:v>
                </c:pt>
                <c:pt idx="2">
                  <c:v>1.1000000000000001</c:v>
                </c:pt>
                <c:pt idx="3">
                  <c:v>2.2999999999999998</c:v>
                </c:pt>
                <c:pt idx="4">
                  <c:v>1.8</c:v>
                </c:pt>
                <c:pt idx="5">
                  <c:v>1.6</c:v>
                </c:pt>
                <c:pt idx="6">
                  <c:v>1.6</c:v>
                </c:pt>
                <c:pt idx="7">
                  <c:v>1.5</c:v>
                </c:pt>
                <c:pt idx="8">
                  <c:v>3.6</c:v>
                </c:pt>
                <c:pt idx="9">
                  <c:v>3.5</c:v>
                </c:pt>
                <c:pt idx="10" formatCode="0.00">
                  <c:v>1.1869436201780417</c:v>
                </c:pt>
                <c:pt idx="11">
                  <c:v>0.82</c:v>
                </c:pt>
                <c:pt idx="12" formatCode="0.00">
                  <c:v>1.1594202898550776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Лист2!$A$15</c:f>
              <c:strCache>
                <c:ptCount val="1"/>
                <c:pt idx="0">
                  <c:v>Дания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Лист2!$B$15:$N$15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1</c:v>
                </c:pt>
                <c:pt idx="2">
                  <c:v>0.9</c:v>
                </c:pt>
                <c:pt idx="3">
                  <c:v>1</c:v>
                </c:pt>
                <c:pt idx="4">
                  <c:v>0.9</c:v>
                </c:pt>
                <c:pt idx="5">
                  <c:v>0.6</c:v>
                </c:pt>
                <c:pt idx="6">
                  <c:v>0.2</c:v>
                </c:pt>
                <c:pt idx="7">
                  <c:v>0.2</c:v>
                </c:pt>
                <c:pt idx="8">
                  <c:v>1.7</c:v>
                </c:pt>
                <c:pt idx="9">
                  <c:v>1.8</c:v>
                </c:pt>
                <c:pt idx="10">
                  <c:v>1.6</c:v>
                </c:pt>
                <c:pt idx="11">
                  <c:v>0.21</c:v>
                </c:pt>
                <c:pt idx="12" formatCode="0.00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Лист2!$A$16</c:f>
              <c:strCache>
                <c:ptCount val="1"/>
                <c:pt idx="0">
                  <c:v>Финляндия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Лист2!$C$16:$N$16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0.9</c:v>
                </c:pt>
                <c:pt idx="3">
                  <c:v>0.7</c:v>
                </c:pt>
                <c:pt idx="4">
                  <c:v>0.9</c:v>
                </c:pt>
                <c:pt idx="5">
                  <c:v>0.2</c:v>
                </c:pt>
                <c:pt idx="6">
                  <c:v>0.2</c:v>
                </c:pt>
                <c:pt idx="7">
                  <c:v>1.4</c:v>
                </c:pt>
                <c:pt idx="8">
                  <c:v>2.1</c:v>
                </c:pt>
                <c:pt idx="9">
                  <c:v>1.9</c:v>
                </c:pt>
                <c:pt idx="10">
                  <c:v>0.1</c:v>
                </c:pt>
                <c:pt idx="11" formatCode="0.00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Лист2!$A$17</c:f>
              <c:strCache>
                <c:ptCount val="1"/>
                <c:pt idx="0">
                  <c:v>Норвегия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Лист2!$C$17:$N$17</c:f>
              <c:numCache>
                <c:formatCode>General</c:formatCode>
                <c:ptCount val="12"/>
                <c:pt idx="0">
                  <c:v>1</c:v>
                </c:pt>
                <c:pt idx="1">
                  <c:v>0.8</c:v>
                </c:pt>
                <c:pt idx="2">
                  <c:v>1.3</c:v>
                </c:pt>
                <c:pt idx="3">
                  <c:v>0.6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3.4</c:v>
                </c:pt>
                <c:pt idx="8">
                  <c:v>3.4</c:v>
                </c:pt>
                <c:pt idx="9">
                  <c:v>4.0999999999999996</c:v>
                </c:pt>
                <c:pt idx="10">
                  <c:v>0.34</c:v>
                </c:pt>
                <c:pt idx="11" formatCode="0.00">
                  <c:v>0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Лист2!$A$18</c:f>
              <c:strCache>
                <c:ptCount val="1"/>
                <c:pt idx="0">
                  <c:v>Швеция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Лист2!$C$18:$N$18</c:f>
              <c:numCache>
                <c:formatCode>General</c:formatCode>
                <c:ptCount val="12"/>
                <c:pt idx="0">
                  <c:v>0.5</c:v>
                </c:pt>
                <c:pt idx="1">
                  <c:v>0.4</c:v>
                </c:pt>
                <c:pt idx="2">
                  <c:v>1.1000000000000001</c:v>
                </c:pt>
                <c:pt idx="3">
                  <c:v>0.7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-0.3</c:v>
                </c:pt>
                <c:pt idx="8">
                  <c:v>1.1000000000000001</c:v>
                </c:pt>
                <c:pt idx="9">
                  <c:v>2.7</c:v>
                </c:pt>
                <c:pt idx="10">
                  <c:v>0.2</c:v>
                </c:pt>
                <c:pt idx="11" formatCode="0.00">
                  <c:v>1.0638297872340559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Лист2!$A$19</c:f>
              <c:strCache>
                <c:ptCount val="1"/>
                <c:pt idx="0">
                  <c:v>Россия</c:v>
                </c:pt>
              </c:strCache>
            </c:strRef>
          </c:tx>
          <c:xVal>
            <c:numRef>
              <c:f>Лист2!$C$12:$N$12</c:f>
              <c:numCache>
                <c:formatCode>General</c:formatCode>
                <c:ptCount val="12"/>
                <c:pt idx="0">
                  <c:v>1929</c:v>
                </c:pt>
                <c:pt idx="1">
                  <c:v>1938</c:v>
                </c:pt>
                <c:pt idx="2">
                  <c:v>1950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xVal>
          <c:yVal>
            <c:numRef>
              <c:f>Лист2!$C$19:$N$19</c:f>
              <c:numCache>
                <c:formatCode>General</c:formatCode>
                <c:ptCount val="12"/>
                <c:pt idx="0">
                  <c:v>0.4</c:v>
                </c:pt>
                <c:pt idx="1">
                  <c:v>0.9</c:v>
                </c:pt>
                <c:pt idx="2">
                  <c:v>0.7</c:v>
                </c:pt>
                <c:pt idx="3">
                  <c:v>0.9</c:v>
                </c:pt>
                <c:pt idx="4">
                  <c:v>0.7</c:v>
                </c:pt>
                <c:pt idx="5">
                  <c:v>0.8</c:v>
                </c:pt>
                <c:pt idx="6">
                  <c:v>0.8</c:v>
                </c:pt>
                <c:pt idx="7">
                  <c:v>-5.7</c:v>
                </c:pt>
                <c:pt idx="8">
                  <c:v>-5.9</c:v>
                </c:pt>
                <c:pt idx="9">
                  <c:v>-1.8</c:v>
                </c:pt>
                <c:pt idx="10">
                  <c:v>-0.06</c:v>
                </c:pt>
                <c:pt idx="11" formatCode="0.00">
                  <c:v>0.20979020979021357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36736"/>
        <c:axId val="24438272"/>
      </c:scatterChart>
      <c:valAx>
        <c:axId val="24436736"/>
        <c:scaling>
          <c:orientation val="minMax"/>
          <c:min val="1930"/>
        </c:scaling>
        <c:delete val="0"/>
        <c:axPos val="b"/>
        <c:numFmt formatCode="General" sourceLinked="1"/>
        <c:majorTickMark val="out"/>
        <c:minorTickMark val="none"/>
        <c:tickLblPos val="nextTo"/>
        <c:crossAx val="24438272"/>
        <c:crosses val="autoZero"/>
        <c:crossBetween val="midCat"/>
        <c:majorUnit val="5"/>
      </c:valAx>
      <c:valAx>
        <c:axId val="24438272"/>
        <c:scaling>
          <c:orientation val="minMax"/>
          <c:max val="6"/>
          <c:min val="-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3673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Александра Николаевна</dc:creator>
  <cp:lastModifiedBy>Абрамовский</cp:lastModifiedBy>
  <cp:revision>2</cp:revision>
  <dcterms:created xsi:type="dcterms:W3CDTF">2015-02-14T19:46:00Z</dcterms:created>
  <dcterms:modified xsi:type="dcterms:W3CDTF">2015-02-14T19:46:00Z</dcterms:modified>
</cp:coreProperties>
</file>