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74" w:rsidRDefault="00452C74" w:rsidP="004D1881">
      <w:pPr>
        <w:pStyle w:val="a5"/>
        <w:spacing w:before="0" w:beforeAutospacing="0" w:after="0" w:afterAutospacing="0"/>
        <w:ind w:firstLine="284"/>
        <w:jc w:val="right"/>
        <w:rPr>
          <w:b/>
          <w:i/>
          <w:sz w:val="20"/>
          <w:shd w:val="clear" w:color="auto" w:fill="FFFFFF"/>
        </w:rPr>
      </w:pPr>
      <w:r w:rsidRPr="00452C74">
        <w:rPr>
          <w:b/>
          <w:i/>
          <w:sz w:val="20"/>
          <w:shd w:val="clear" w:color="auto" w:fill="FFFFFF"/>
        </w:rPr>
        <w:t>Д. С. Волостнова</w:t>
      </w:r>
      <w:r>
        <w:rPr>
          <w:b/>
          <w:i/>
          <w:sz w:val="20"/>
          <w:shd w:val="clear" w:color="auto" w:fill="FFFFFF"/>
        </w:rPr>
        <w:t>, аспир.; А.Н. Ильченко, д.э.н., проф. (ИГХТУ, Иваново)</w:t>
      </w:r>
    </w:p>
    <w:p w:rsidR="00452C74" w:rsidRDefault="00452C74" w:rsidP="004D1881">
      <w:pPr>
        <w:pStyle w:val="a5"/>
        <w:spacing w:before="0" w:beforeAutospacing="0" w:after="0" w:afterAutospacing="0"/>
        <w:ind w:firstLine="284"/>
        <w:jc w:val="right"/>
        <w:rPr>
          <w:b/>
          <w:i/>
          <w:sz w:val="20"/>
          <w:shd w:val="clear" w:color="auto" w:fill="FFFFFF"/>
        </w:rPr>
      </w:pPr>
    </w:p>
    <w:p w:rsidR="004D1881" w:rsidRPr="00946128" w:rsidRDefault="00946128" w:rsidP="00BE303C">
      <w:pPr>
        <w:pStyle w:val="a5"/>
        <w:spacing w:before="0" w:beforeAutospacing="0" w:after="0" w:afterAutospacing="0"/>
        <w:jc w:val="center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>МЕТОДИКА ОБОСНОВАНИЯ РЕГИОНАЛЬНОЙ ПОЛИТИКИ НА РЫНКЕ НОТАРИАЛЬНЫХ УСЛУГ</w:t>
      </w:r>
    </w:p>
    <w:p w:rsidR="004D1881" w:rsidRPr="00452C74" w:rsidRDefault="004D1881" w:rsidP="00D96846">
      <w:pPr>
        <w:pStyle w:val="a5"/>
        <w:spacing w:before="0" w:beforeAutospacing="0" w:after="0" w:afterAutospacing="0"/>
        <w:ind w:firstLine="284"/>
        <w:jc w:val="right"/>
        <w:rPr>
          <w:b/>
          <w:i/>
          <w:sz w:val="20"/>
          <w:shd w:val="clear" w:color="auto" w:fill="FFFFFF"/>
        </w:rPr>
      </w:pPr>
    </w:p>
    <w:p w:rsidR="00B01221" w:rsidRPr="00B01221" w:rsidRDefault="00B01221" w:rsidP="00D96846">
      <w:pPr>
        <w:pStyle w:val="a5"/>
        <w:spacing w:before="0" w:beforeAutospacing="0" w:after="0" w:afterAutospacing="0"/>
        <w:ind w:firstLine="284"/>
        <w:jc w:val="both"/>
        <w:rPr>
          <w:sz w:val="20"/>
          <w:shd w:val="clear" w:color="auto" w:fill="FFFFFF"/>
        </w:rPr>
      </w:pPr>
      <w:r w:rsidRPr="00B01221">
        <w:rPr>
          <w:sz w:val="20"/>
          <w:shd w:val="clear" w:color="auto" w:fill="FFFFFF"/>
        </w:rPr>
        <w:t>Нотариат в Российской Федерации служит целям защиты прав и законных интересов граждан и юридических лиц, обеспечивая совершение нотариусами, работающими в государственных конторах либо занимающимися частной практикой, предусмотренных законодательными актами нотариальных действий от имени Российской Федерации</w:t>
      </w:r>
      <w:r w:rsidR="004D1881" w:rsidRPr="004D1881">
        <w:rPr>
          <w:sz w:val="20"/>
          <w:shd w:val="clear" w:color="auto" w:fill="FFFFFF"/>
        </w:rPr>
        <w:t xml:space="preserve"> [</w:t>
      </w:r>
      <w:r w:rsidR="001D47E5">
        <w:rPr>
          <w:sz w:val="20"/>
          <w:shd w:val="clear" w:color="auto" w:fill="FFFFFF"/>
        </w:rPr>
        <w:t>1</w:t>
      </w:r>
      <w:r w:rsidR="004D1881" w:rsidRPr="004D1881">
        <w:rPr>
          <w:sz w:val="20"/>
          <w:shd w:val="clear" w:color="auto" w:fill="FFFFFF"/>
        </w:rPr>
        <w:t>]</w:t>
      </w:r>
      <w:r w:rsidRPr="00B01221">
        <w:rPr>
          <w:sz w:val="20"/>
          <w:shd w:val="clear" w:color="auto" w:fill="FFFFFF"/>
        </w:rPr>
        <w:t>.</w:t>
      </w:r>
    </w:p>
    <w:p w:rsidR="00B01221" w:rsidRPr="00B01221" w:rsidRDefault="00BE48D7" w:rsidP="00D968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BE48D7">
        <w:rPr>
          <w:rFonts w:ascii="Times New Roman" w:hAnsi="Times New Roman" w:cs="Times New Roman"/>
          <w:sz w:val="20"/>
          <w:szCs w:val="28"/>
        </w:rPr>
        <w:t>В настоящее время в Российской Федерации законодательно определено два вида субъектов нотариальной деятельности – государственные и частнопрактикующие нотариусы. И те, и другие реализуют государственные функции, однако способы ценообразования на услуги у них различны</w:t>
      </w:r>
      <w:r w:rsidR="00B01221" w:rsidRPr="00B01221">
        <w:rPr>
          <w:rFonts w:ascii="Times New Roman" w:hAnsi="Times New Roman" w:cs="Times New Roman"/>
          <w:sz w:val="20"/>
          <w:szCs w:val="28"/>
        </w:rPr>
        <w:t xml:space="preserve">. </w:t>
      </w:r>
    </w:p>
    <w:p w:rsidR="00BE48D7" w:rsidRPr="00BE48D7" w:rsidRDefault="00BE48D7" w:rsidP="00D968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BE48D7">
        <w:rPr>
          <w:rFonts w:ascii="Times New Roman" w:hAnsi="Times New Roman" w:cs="Times New Roman"/>
          <w:sz w:val="20"/>
          <w:szCs w:val="24"/>
        </w:rPr>
        <w:t>Для государственных нотариусов законодательно определен не только перечень предоставляемых услуг, но и размер взимаемого за них тарифа (государственная пошлина). Кроме того, государство берет на себя бремя финансово-хозяйственного обеспечения государственных нотариусов.</w:t>
      </w:r>
    </w:p>
    <w:p w:rsidR="00BE48D7" w:rsidRPr="00BE48D7" w:rsidRDefault="0050047F" w:rsidP="00D968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4"/>
        </w:rPr>
        <w:t>Частнопрактикующие</w:t>
      </w:r>
      <w:r w:rsidR="00BE48D7" w:rsidRPr="00BE48D7">
        <w:rPr>
          <w:rFonts w:ascii="Times New Roman" w:hAnsi="Times New Roman" w:cs="Times New Roman"/>
          <w:sz w:val="20"/>
          <w:szCs w:val="24"/>
        </w:rPr>
        <w:t xml:space="preserve"> нотариусы осуществляют финансово-хозяйственную деятельность за счет собственных средств, т.е. по принципу самофинансирования. </w:t>
      </w:r>
      <w:r w:rsidR="00BE48D7" w:rsidRPr="00BE48D7">
        <w:rPr>
          <w:rFonts w:ascii="Times New Roman" w:hAnsi="Times New Roman" w:cs="Times New Roman"/>
          <w:sz w:val="20"/>
          <w:szCs w:val="28"/>
        </w:rPr>
        <w:t xml:space="preserve">Однако установленные государством тарифы не покрывают в полном объеме расходов, связанных с нотариальной деятельностью. </w:t>
      </w:r>
    </w:p>
    <w:p w:rsidR="00BE48D7" w:rsidRPr="00D85782" w:rsidRDefault="00BE48D7" w:rsidP="00D968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r w:rsidRPr="00D85782">
        <w:rPr>
          <w:rFonts w:ascii="Times New Roman" w:hAnsi="Times New Roman" w:cs="Times New Roman"/>
          <w:sz w:val="20"/>
          <w:szCs w:val="28"/>
        </w:rPr>
        <w:t xml:space="preserve">Таким образом, полная стоимость услуг нотариуса за работу по каждому документу складывается из 2 компонентов – государственная пошлина и дополнительный тариф на услуги правового и технического характера, устанавливаемый произвольно, но в пределах государственного регулирования со стороны нотариальных палат (рис. </w:t>
      </w:r>
      <w:r>
        <w:rPr>
          <w:rFonts w:ascii="Times New Roman" w:hAnsi="Times New Roman" w:cs="Times New Roman"/>
          <w:sz w:val="20"/>
          <w:szCs w:val="28"/>
        </w:rPr>
        <w:t>1</w:t>
      </w:r>
      <w:r w:rsidRPr="00D85782">
        <w:rPr>
          <w:rFonts w:ascii="Times New Roman" w:hAnsi="Times New Roman" w:cs="Times New Roman"/>
          <w:sz w:val="20"/>
          <w:szCs w:val="28"/>
        </w:rPr>
        <w:t xml:space="preserve">). </w:t>
      </w:r>
    </w:p>
    <w:p w:rsidR="00BE48D7" w:rsidRDefault="00BE48D7" w:rsidP="00BE48D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  <w:r w:rsidRPr="00452C74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c">
            <w:drawing>
              <wp:inline distT="0" distB="0" distL="0" distR="0" wp14:anchorId="26BFF2ED" wp14:editId="2CD7362E">
                <wp:extent cx="3888740" cy="811032"/>
                <wp:effectExtent l="0" t="0" r="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67600" y="82538"/>
                            <a:ext cx="2105603" cy="211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8D7" w:rsidRPr="00452C74" w:rsidRDefault="00BE48D7" w:rsidP="00BE4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52C74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Нотариальный тариф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2018" y="422627"/>
                            <a:ext cx="1652685" cy="229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8D7" w:rsidRPr="00452C74" w:rsidRDefault="00BE48D7" w:rsidP="00BE4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52C7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государственная пошлина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87826" y="422625"/>
                            <a:ext cx="1804946" cy="237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8D7" w:rsidRPr="00452C74" w:rsidRDefault="00BE48D7" w:rsidP="00BE4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52C7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услуги правового и технического характера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CnPr>
                          <a:cxnSpLocks noChangeShapeType="1"/>
                          <a:stCxn id="7" idx="2"/>
                        </wps:cNvCnPr>
                        <wps:spPr bwMode="auto">
                          <a:xfrm flipH="1">
                            <a:off x="1550504" y="294176"/>
                            <a:ext cx="469898" cy="11133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"/>
                        <wps:cNvCnPr>
                          <a:cxnSpLocks noChangeShapeType="1"/>
                          <a:stCxn id="7" idx="2"/>
                        </wps:cNvCnPr>
                        <wps:spPr bwMode="auto">
                          <a:xfrm>
                            <a:off x="2020402" y="294176"/>
                            <a:ext cx="357038" cy="10338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BFF2ED" id="Полотно 12" o:spid="_x0000_s1026" editas="canvas" style="width:306.2pt;height:63.85pt;mso-position-horizontal-relative:char;mso-position-vertical-relative:line" coordsize="3888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887;height:8108;visibility:visible;mso-wrap-style:square">
                  <v:fill o:detectmouseclick="t"/>
                  <v:path o:connecttype="none"/>
                </v:shape>
                <v:rect id="Rectangle 11" o:spid="_x0000_s1028" style="position:absolute;left:9676;top:825;width:21056;height:2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M7MIA&#10;AADaAAAADwAAAGRycy9kb3ducmV2LnhtbESPQYvCMBSE7wv+h/CEva2pHlzpGkVEoSx42OrF29vm&#10;2Qabl5KkWv+9WVjwOMzMN8xyPdhW3MgH41jBdJKBIK6cNlwrOB33HwsQISJrbB2TggcFWK9Gb0vM&#10;tbvzD93KWIsE4ZCjgibGLpcyVA1ZDBPXESfv4rzFmKSvpfZ4T3DbylmWzaVFw2mhwY62DVXXsrcK&#10;5uWmj4fC7Kb9sTif7fevOZy8Uu/jYfMFItIQX+H/dqEVfMLflX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YzswgAAANoAAAAPAAAAAAAAAAAAAAAAAJgCAABkcnMvZG93&#10;bnJldi54bWxQSwUGAAAAAAQABAD1AAAAhwMAAAAA&#10;" strokecolor="black [3213]" strokeweight="1pt">
                  <v:textbox>
                    <w:txbxContent>
                      <w:p w:rsidR="00BE48D7" w:rsidRPr="00452C74" w:rsidRDefault="00BE48D7" w:rsidP="00BE48D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452C74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Нотариальный тариф</w:t>
                        </w:r>
                      </w:p>
                    </w:txbxContent>
                  </v:textbox>
                </v:rect>
                <v:rect id="Rectangle 12" o:spid="_x0000_s1029" style="position:absolute;left:1920;top:4226;width:16527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MYsIA&#10;AADaAAAADwAAAGRycy9kb3ducmV2LnhtbERPz2vCMBS+C/4P4QleZKbu0LlqlE0YCpNB3Zjs9mie&#10;abF5KUnU7r83h8GOH9/v5bq3rbiSD41jBbNpBoK4crpho+Dr8+1hDiJEZI2tY1LwSwHWq+FgiYV2&#10;Ny7peohGpBAOBSqoY+wKKUNVk8UwdR1x4k7OW4wJeiO1x1sKt618zLJcWmw4NdTY0aam6ny4WAWv&#10;5+/y48nM332XP++3k59j3pujUuNR/7IAEamP/+I/904rSFvT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oxiwgAAANoAAAAPAAAAAAAAAAAAAAAAAJgCAABkcnMvZG93&#10;bnJldi54bWxQSwUGAAAAAAQABAD1AAAAhwMAAAAA&#10;" strokeweight="1pt">
                  <v:textbox>
                    <w:txbxContent>
                      <w:p w:rsidR="00BE48D7" w:rsidRPr="00452C74" w:rsidRDefault="00BE48D7" w:rsidP="00BE48D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52C7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государственная пошлина</w:t>
                        </w:r>
                      </w:p>
                    </w:txbxContent>
                  </v:textbox>
                </v:rect>
                <v:rect id="Rectangle 13" o:spid="_x0000_s1030" style="position:absolute;left:19878;top:4226;width:18049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p+cUA&#10;AADaAAAADwAAAGRycy9kb3ducmV2LnhtbESPT2sCMRTE7wW/Q3iFXopm28OqW6PYQqlQEfyD0ttj&#10;85pd3LwsSarrt28EweMwM79hJrPONuJEPtSOFbwMMhDEpdM1GwW77Wd/BCJEZI2NY1JwoQCzae9h&#10;goV2Z17TaRONSBAOBSqoYmwLKUNZkcUwcC1x8n6dtxiT9EZqj+cEt418zbJcWqw5LVTY0kdF5XHz&#10;ZxW8H/fr1dCMvn2bj5dfzz+HvDMHpZ4eu/kbiEhdvIdv7YVWMIbrlXQD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in5xQAAANoAAAAPAAAAAAAAAAAAAAAAAJgCAABkcnMv&#10;ZG93bnJldi54bWxQSwUGAAAAAAQABAD1AAAAigMAAAAA&#10;" strokeweight="1pt">
                  <v:textbox>
                    <w:txbxContent>
                      <w:p w:rsidR="00BE48D7" w:rsidRPr="00452C74" w:rsidRDefault="00BE48D7" w:rsidP="00BE48D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52C7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услуги правового и технического характера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1" type="#_x0000_t32" style="position:absolute;left:15505;top:2941;width:4699;height:11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xX3MMAAADbAAAADwAAAGRycy9kb3ducmV2LnhtbESPQWsCMRCF74X+hzAFbzVbESlbo5SC&#10;2IIXrQePw2a6WZtMtkmq6793DoK3ecz73ryZL4fg1YlS7iIbeBlXoIibaDtuDey/V8+voHJBtugj&#10;k4ELZVguHh/mWNt45i2ddqVVEsK5RgOulL7WOjeOAuZx7Ill9xNTwCIytdomPEt48HpSVTMdsGO5&#10;4LCnD0fN7+4/SI3jceP9Wl/a7fTvkCbr1dfUeWNGT8P7G6hCQ7mbb/SnFU7ayy8ygF5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8V9zDAAAA2wAAAA8AAAAAAAAAAAAA&#10;AAAAoQIAAGRycy9kb3ducmV2LnhtbFBLBQYAAAAABAAEAPkAAACRAwAAAAA=&#10;" strokeweight="1pt">
                  <v:stroke endarrow="block"/>
                </v:shape>
                <v:shape id="AutoShape 15" o:spid="_x0000_s1032" type="#_x0000_t32" style="position:absolute;left:20204;top:2941;width:357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ApGr8AAADbAAAADwAAAGRycy9kb3ducmV2LnhtbERP32vCMBB+H/g/hBN8m2kniHRG0YG6&#10;V7X4fDS3pltziU209b9fBgPf7uP7ecv1YFtxpy40jhXk0wwEceV0w7WC8rx7XYAIEVlj65gUPCjA&#10;ejV6WWKhXc9Hup9iLVIIhwIVmBh9IWWoDFkMU+eJE/flOosxwa6WusM+hdtWvmXZXFpsODUY9PRh&#10;qPo53awCX85cvrk+DrvqbHzZ55ft7Huv1GQ8bN5BRBriU/zv/tRpfg5/v6QD5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dApGr8AAADbAAAADwAAAAAAAAAAAAAAAACh&#10;AgAAZHJzL2Rvd25yZXYueG1sUEsFBgAAAAAEAAQA+QAAAI0DAAAAAA==&#10;" strokeweight="1pt">
                  <v:stroke endarrow="block"/>
                </v:shape>
                <w10:anchorlock/>
              </v:group>
            </w:pict>
          </mc:Fallback>
        </mc:AlternateContent>
      </w:r>
    </w:p>
    <w:p w:rsidR="00BE48D7" w:rsidRPr="00BE48D7" w:rsidRDefault="00BE48D7" w:rsidP="00BE48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452C74">
        <w:rPr>
          <w:rFonts w:ascii="Times New Roman" w:hAnsi="Times New Roman" w:cs="Times New Roman"/>
          <w:b/>
          <w:sz w:val="16"/>
          <w:szCs w:val="28"/>
        </w:rPr>
        <w:t>Рис.</w:t>
      </w:r>
      <w:r>
        <w:rPr>
          <w:rFonts w:ascii="Times New Roman" w:hAnsi="Times New Roman" w:cs="Times New Roman"/>
          <w:b/>
          <w:sz w:val="16"/>
          <w:szCs w:val="28"/>
        </w:rPr>
        <w:t>1</w:t>
      </w:r>
      <w:r w:rsidRPr="00452C74">
        <w:rPr>
          <w:rFonts w:ascii="Times New Roman" w:hAnsi="Times New Roman" w:cs="Times New Roman"/>
          <w:b/>
          <w:sz w:val="16"/>
          <w:szCs w:val="28"/>
        </w:rPr>
        <w:t>.</w:t>
      </w:r>
      <w:r w:rsidRPr="00452C74">
        <w:rPr>
          <w:rFonts w:ascii="Times New Roman" w:hAnsi="Times New Roman" w:cs="Times New Roman"/>
          <w:sz w:val="16"/>
          <w:szCs w:val="28"/>
        </w:rPr>
        <w:t xml:space="preserve"> Структура нотариального тарифа частнопрактикующего нотариуса</w:t>
      </w:r>
    </w:p>
    <w:p w:rsidR="00BE48D7" w:rsidRDefault="00BE48D7" w:rsidP="00BE48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</w:p>
    <w:p w:rsidR="00BE48D7" w:rsidRDefault="00BE48D7" w:rsidP="00BE48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</w:p>
    <w:p w:rsidR="00BE48D7" w:rsidRPr="00BE48D7" w:rsidRDefault="00BE48D7" w:rsidP="00BE48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BE48D7">
        <w:rPr>
          <w:rFonts w:ascii="Times New Roman" w:hAnsi="Times New Roman" w:cs="Times New Roman"/>
          <w:sz w:val="20"/>
          <w:szCs w:val="24"/>
        </w:rPr>
        <w:lastRenderedPageBreak/>
        <w:t xml:space="preserve">Также необходимо отметить что в результате введения частнопрактикующими нотариусами дополнительного тарифа за услуги правового и технического характера, на рынке нотариальных услуг сложилась ситуация, когда за одно и тоже нотариальное действие (услугу) население платит по разным тарифам не только в разных регионах, но и зачастую внутри одного региона </w:t>
      </w:r>
    </w:p>
    <w:p w:rsidR="00BE48D7" w:rsidRPr="00BE48D7" w:rsidRDefault="00BE48D7" w:rsidP="00BE48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BE48D7">
        <w:rPr>
          <w:rFonts w:ascii="Times New Roman" w:hAnsi="Times New Roman" w:cs="Times New Roman"/>
          <w:sz w:val="20"/>
          <w:szCs w:val="24"/>
        </w:rPr>
        <w:t>Таким образом, возникла потребность в создании методики экономически обоснованного расчета нотариальных тарифов на услуги, оказываемые частнопрактикующими нотариусами по всей номенклатуре предоставляемых услуг.</w:t>
      </w:r>
    </w:p>
    <w:p w:rsidR="004D1881" w:rsidRPr="004D1881" w:rsidRDefault="004D1881" w:rsidP="00BE48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881">
        <w:rPr>
          <w:rFonts w:ascii="Times New Roman" w:hAnsi="Times New Roman" w:cs="Times New Roman"/>
          <w:sz w:val="20"/>
          <w:szCs w:val="20"/>
        </w:rPr>
        <w:t>Автором была разработана методика экономически обоснованного расчета нотариальных тарифов на услуги, оказываемые частнопрактикующими нотариусами, для применения нотариальными палатами регионов с учетом особенностей региона.</w:t>
      </w:r>
    </w:p>
    <w:p w:rsidR="004D1881" w:rsidRPr="004D1881" w:rsidRDefault="004D1881" w:rsidP="00BE48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881">
        <w:rPr>
          <w:rFonts w:ascii="Times New Roman" w:hAnsi="Times New Roman" w:cs="Times New Roman"/>
          <w:sz w:val="20"/>
          <w:szCs w:val="20"/>
        </w:rPr>
        <w:t>Сущность методики заключается в том, чтобы в среднесрочной перспективе (3 года) спрогнозировать динамику изменения нотариальных тарифов с учетом тенденций:</w:t>
      </w:r>
    </w:p>
    <w:p w:rsidR="004D1881" w:rsidRPr="004D1881" w:rsidRDefault="004D1881" w:rsidP="00BE48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881">
        <w:rPr>
          <w:rFonts w:ascii="Times New Roman" w:hAnsi="Times New Roman" w:cs="Times New Roman"/>
          <w:sz w:val="20"/>
          <w:szCs w:val="20"/>
        </w:rPr>
        <w:t xml:space="preserve"> - сохранения сложившегося за предыдущие 3 года уровня «рентабельности» деятельности региональной нотариальной палаты;</w:t>
      </w:r>
    </w:p>
    <w:p w:rsidR="004D1881" w:rsidRPr="004D1881" w:rsidRDefault="004D1881" w:rsidP="00BE48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881">
        <w:rPr>
          <w:rFonts w:ascii="Times New Roman" w:hAnsi="Times New Roman" w:cs="Times New Roman"/>
          <w:sz w:val="20"/>
          <w:szCs w:val="20"/>
        </w:rPr>
        <w:t xml:space="preserve"> - будущей динамики изменения наиболее влияющих факторов;</w:t>
      </w:r>
    </w:p>
    <w:p w:rsidR="004D1881" w:rsidRPr="004D1881" w:rsidRDefault="004D1881" w:rsidP="00BE48D7">
      <w:pPr>
        <w:pStyle w:val="a3"/>
        <w:spacing w:after="0" w:line="240" w:lineRule="auto"/>
        <w:ind w:right="40" w:firstLine="284"/>
        <w:jc w:val="both"/>
        <w:rPr>
          <w:sz w:val="20"/>
          <w:szCs w:val="20"/>
        </w:rPr>
      </w:pPr>
      <w:r w:rsidRPr="004D1881">
        <w:rPr>
          <w:sz w:val="20"/>
          <w:szCs w:val="20"/>
        </w:rPr>
        <w:t xml:space="preserve"> - прогнозируемого изменения уровня жизни в регионе (инфляции).</w:t>
      </w:r>
    </w:p>
    <w:p w:rsidR="004D1881" w:rsidRPr="004D1881" w:rsidRDefault="00707BDF" w:rsidP="00BE48D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Предложенная м</w:t>
      </w:r>
      <w:r w:rsidR="004D1881" w:rsidRPr="004D1881">
        <w:rPr>
          <w:rFonts w:ascii="Times New Roman" w:hAnsi="Times New Roman" w:cs="Times New Roman"/>
          <w:color w:val="000000"/>
          <w:sz w:val="20"/>
          <w:szCs w:val="20"/>
        </w:rPr>
        <w:t>етодика позволит решить задачу единообразия формирования нотариальных тарифов на всей территории Российской Федерации.  При этом нотариальный тариф находится под контролем государства, т.е. выполняется задача общедоступности услуги, защита ее социального статуса.</w:t>
      </w:r>
    </w:p>
    <w:p w:rsidR="00D85782" w:rsidRPr="004D1881" w:rsidRDefault="004D1881" w:rsidP="00BE48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881">
        <w:rPr>
          <w:rFonts w:ascii="Times New Roman" w:hAnsi="Times New Roman" w:cs="Times New Roman"/>
          <w:sz w:val="20"/>
          <w:szCs w:val="20"/>
        </w:rPr>
        <w:t xml:space="preserve">Апробация разработанной методики путем внедрения в 14 регионах РФ, различающихся по географическому, экономическому, демографическому социальному положению, показывает универсальность данной методики и возможность ее дальнейшего применения другими региональными нотариальными палатами субъектов Российской Федерации. </w:t>
      </w:r>
    </w:p>
    <w:p w:rsidR="00452C74" w:rsidRPr="007B766F" w:rsidRDefault="00452C74" w:rsidP="007B76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:rsidR="00615F77" w:rsidRDefault="007B766F" w:rsidP="007B76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B766F">
        <w:rPr>
          <w:rFonts w:ascii="Times New Roman" w:hAnsi="Times New Roman" w:cs="Times New Roman"/>
          <w:b/>
          <w:sz w:val="20"/>
        </w:rPr>
        <w:t>Библиографический список</w:t>
      </w:r>
    </w:p>
    <w:p w:rsidR="007B766F" w:rsidRDefault="007B766F" w:rsidP="007B76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7B766F" w:rsidRPr="001D47E5" w:rsidRDefault="001D47E5" w:rsidP="00BE48D7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</w:rPr>
      </w:pPr>
      <w:r w:rsidRPr="001D47E5">
        <w:rPr>
          <w:rFonts w:ascii="Times New Roman" w:hAnsi="Times New Roman" w:cs="Times New Roman"/>
          <w:sz w:val="20"/>
        </w:rPr>
        <w:t>"Основы законодательства Российской Федерации о нотариате" (утв. ВС РФ 11.02.1993 N 4462-1) (С изменениями и дополнениями от 21 июля 2014 г.).</w:t>
      </w:r>
    </w:p>
    <w:p w:rsidR="001D47E5" w:rsidRPr="0050047F" w:rsidRDefault="001D47E5" w:rsidP="00CE5296">
      <w:pPr>
        <w:pStyle w:val="aa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50047F">
        <w:rPr>
          <w:rFonts w:ascii="Times New Roman" w:hAnsi="Times New Roman" w:cs="Times New Roman"/>
          <w:b/>
          <w:sz w:val="20"/>
        </w:rPr>
        <w:t>Казаневич И.Л.</w:t>
      </w:r>
      <w:r w:rsidRPr="0050047F">
        <w:rPr>
          <w:rFonts w:ascii="Times New Roman" w:hAnsi="Times New Roman" w:cs="Times New Roman"/>
          <w:sz w:val="20"/>
        </w:rPr>
        <w:t xml:space="preserve"> Проблемы реформирования нотариата в РФ. – 2002. - №2.</w:t>
      </w:r>
      <w:bookmarkStart w:id="0" w:name="_GoBack"/>
      <w:bookmarkEnd w:id="0"/>
    </w:p>
    <w:sectPr w:rsidR="001D47E5" w:rsidRPr="0050047F" w:rsidSect="000946C7">
      <w:pgSz w:w="8392" w:h="11907" w:code="13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F4" w:rsidRDefault="00266BF4" w:rsidP="00B01221">
      <w:pPr>
        <w:spacing w:after="0" w:line="240" w:lineRule="auto"/>
      </w:pPr>
      <w:r>
        <w:separator/>
      </w:r>
    </w:p>
  </w:endnote>
  <w:endnote w:type="continuationSeparator" w:id="0">
    <w:p w:rsidR="00266BF4" w:rsidRDefault="00266BF4" w:rsidP="00B0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F4" w:rsidRDefault="00266BF4" w:rsidP="00B01221">
      <w:pPr>
        <w:spacing w:after="0" w:line="240" w:lineRule="auto"/>
      </w:pPr>
      <w:r>
        <w:separator/>
      </w:r>
    </w:p>
  </w:footnote>
  <w:footnote w:type="continuationSeparator" w:id="0">
    <w:p w:rsidR="00266BF4" w:rsidRDefault="00266BF4" w:rsidP="00B0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50F51"/>
    <w:multiLevelType w:val="hybridMultilevel"/>
    <w:tmpl w:val="958EE224"/>
    <w:lvl w:ilvl="0" w:tplc="C4F45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21"/>
    <w:rsid w:val="000946C7"/>
    <w:rsid w:val="001D47E5"/>
    <w:rsid w:val="00266BF4"/>
    <w:rsid w:val="003A1080"/>
    <w:rsid w:val="00452C74"/>
    <w:rsid w:val="004D1881"/>
    <w:rsid w:val="0050047F"/>
    <w:rsid w:val="005D447A"/>
    <w:rsid w:val="00707BDF"/>
    <w:rsid w:val="00715D02"/>
    <w:rsid w:val="00726CAF"/>
    <w:rsid w:val="007B766F"/>
    <w:rsid w:val="008D1684"/>
    <w:rsid w:val="00946128"/>
    <w:rsid w:val="00B01221"/>
    <w:rsid w:val="00B83D91"/>
    <w:rsid w:val="00BE303C"/>
    <w:rsid w:val="00BE48D7"/>
    <w:rsid w:val="00D85782"/>
    <w:rsid w:val="00D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FA5FF-8329-4CA3-98D1-447F54A5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01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221"/>
    <w:pPr>
      <w:shd w:val="clear" w:color="auto" w:fill="FFFFFF"/>
      <w:spacing w:after="2100" w:line="240" w:lineRule="atLeast"/>
      <w:ind w:hanging="124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B01221"/>
  </w:style>
  <w:style w:type="character" w:customStyle="1" w:styleId="apple-style-span">
    <w:name w:val="apple-style-span"/>
    <w:basedOn w:val="a0"/>
    <w:rsid w:val="00B01221"/>
  </w:style>
  <w:style w:type="paragraph" w:styleId="a5">
    <w:name w:val="Normal (Web)"/>
    <w:basedOn w:val="a"/>
    <w:uiPriority w:val="99"/>
    <w:unhideWhenUsed/>
    <w:rsid w:val="00B0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1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221"/>
  </w:style>
  <w:style w:type="paragraph" w:styleId="a8">
    <w:name w:val="footer"/>
    <w:basedOn w:val="a"/>
    <w:link w:val="a9"/>
    <w:uiPriority w:val="99"/>
    <w:unhideWhenUsed/>
    <w:rsid w:val="00B01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221"/>
  </w:style>
  <w:style w:type="paragraph" w:styleId="aa">
    <w:name w:val="List Paragraph"/>
    <w:basedOn w:val="a"/>
    <w:uiPriority w:val="34"/>
    <w:qFormat/>
    <w:rsid w:val="001D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Волостнова</dc:creator>
  <cp:keywords/>
  <dc:description/>
  <cp:lastModifiedBy>Сергей</cp:lastModifiedBy>
  <cp:revision>2</cp:revision>
  <dcterms:created xsi:type="dcterms:W3CDTF">2015-02-09T18:04:00Z</dcterms:created>
  <dcterms:modified xsi:type="dcterms:W3CDTF">2015-02-09T18:04:00Z</dcterms:modified>
</cp:coreProperties>
</file>